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3847" w14:textId="4DB80D22" w:rsidR="00893DC6" w:rsidRDefault="00D95751">
      <w:pPr>
        <w:rPr>
          <w:sz w:val="28"/>
          <w:szCs w:val="28"/>
        </w:rPr>
      </w:pPr>
      <w:r w:rsidRPr="004526E6">
        <w:rPr>
          <w:sz w:val="28"/>
          <w:szCs w:val="28"/>
        </w:rPr>
        <w:t>Comments of Bent Leonhard to the Proposal for a new Regulation on FRM.</w:t>
      </w:r>
    </w:p>
    <w:p w14:paraId="047D1379" w14:textId="0742C0F6" w:rsidR="008E54A5" w:rsidRPr="00BD7093" w:rsidRDefault="005F60D0">
      <w:pPr>
        <w:rPr>
          <w:sz w:val="24"/>
          <w:szCs w:val="24"/>
        </w:rPr>
      </w:pPr>
      <w:r w:rsidRPr="00BD7093">
        <w:rPr>
          <w:sz w:val="24"/>
          <w:szCs w:val="24"/>
        </w:rPr>
        <w:t xml:space="preserve">It is amending the </w:t>
      </w:r>
      <w:r w:rsidR="00F96267" w:rsidRPr="00BD7093">
        <w:rPr>
          <w:sz w:val="24"/>
          <w:szCs w:val="24"/>
        </w:rPr>
        <w:t xml:space="preserve">Regulation (EU) </w:t>
      </w:r>
      <w:r w:rsidR="00462964" w:rsidRPr="00BD7093">
        <w:rPr>
          <w:sz w:val="24"/>
          <w:szCs w:val="24"/>
        </w:rPr>
        <w:t xml:space="preserve">2016/2031 </w:t>
      </w:r>
      <w:r w:rsidR="00E5341D" w:rsidRPr="00BD7093">
        <w:rPr>
          <w:sz w:val="24"/>
          <w:szCs w:val="24"/>
        </w:rPr>
        <w:t>and Regulation 2017/625</w:t>
      </w:r>
    </w:p>
    <w:p w14:paraId="36F34DB4" w14:textId="03072BCE" w:rsidR="00D95751" w:rsidRPr="00BD7093" w:rsidRDefault="0031404C">
      <w:pPr>
        <w:rPr>
          <w:b/>
          <w:bCs/>
          <w:sz w:val="24"/>
          <w:szCs w:val="24"/>
        </w:rPr>
      </w:pPr>
      <w:r w:rsidRPr="00BD7093">
        <w:rPr>
          <w:b/>
          <w:bCs/>
          <w:sz w:val="24"/>
          <w:szCs w:val="24"/>
        </w:rPr>
        <w:t xml:space="preserve">First part of the document is an </w:t>
      </w:r>
      <w:r w:rsidR="00B6467C">
        <w:rPr>
          <w:b/>
          <w:bCs/>
          <w:sz w:val="24"/>
          <w:szCs w:val="24"/>
        </w:rPr>
        <w:t>E</w:t>
      </w:r>
      <w:r w:rsidRPr="00BD7093">
        <w:rPr>
          <w:b/>
          <w:bCs/>
          <w:sz w:val="24"/>
          <w:szCs w:val="24"/>
        </w:rPr>
        <w:t>xpla</w:t>
      </w:r>
      <w:r w:rsidR="00E112E7" w:rsidRPr="00BD7093">
        <w:rPr>
          <w:b/>
          <w:bCs/>
          <w:sz w:val="24"/>
          <w:szCs w:val="24"/>
        </w:rPr>
        <w:t>natory memorandum.</w:t>
      </w:r>
      <w:r w:rsidR="00334FCE" w:rsidRPr="00BD7093">
        <w:rPr>
          <w:b/>
          <w:bCs/>
          <w:sz w:val="24"/>
          <w:szCs w:val="24"/>
        </w:rPr>
        <w:t xml:space="preserve"> P 1-15</w:t>
      </w:r>
      <w:r w:rsidR="009F122B" w:rsidRPr="00BD7093">
        <w:rPr>
          <w:b/>
          <w:bCs/>
          <w:sz w:val="24"/>
          <w:szCs w:val="24"/>
        </w:rPr>
        <w:t>.</w:t>
      </w:r>
    </w:p>
    <w:p w14:paraId="628BCBCE" w14:textId="20F1131C" w:rsidR="009F122B" w:rsidRDefault="009F122B">
      <w:r>
        <w:t xml:space="preserve">Here GD SANTE </w:t>
      </w:r>
      <w:r w:rsidR="00513483">
        <w:t>gives the background for the need for an update</w:t>
      </w:r>
      <w:r w:rsidR="004526E6">
        <w:t>, and they argue for the chosen solutions.</w:t>
      </w:r>
    </w:p>
    <w:p w14:paraId="555AB6E6" w14:textId="77C5CBBB" w:rsidR="00334FCE" w:rsidRPr="002B2F22" w:rsidRDefault="004C1CA5">
      <w:pPr>
        <w:rPr>
          <w:b/>
          <w:bCs/>
          <w:sz w:val="24"/>
          <w:szCs w:val="24"/>
        </w:rPr>
      </w:pPr>
      <w:r w:rsidRPr="002B2F22">
        <w:rPr>
          <w:b/>
          <w:bCs/>
          <w:sz w:val="24"/>
          <w:szCs w:val="24"/>
        </w:rPr>
        <w:t>Second part is the proposal</w:t>
      </w:r>
      <w:r w:rsidR="00711785" w:rsidRPr="002B2F22">
        <w:rPr>
          <w:b/>
          <w:bCs/>
          <w:sz w:val="24"/>
          <w:szCs w:val="24"/>
        </w:rPr>
        <w:t xml:space="preserve"> with </w:t>
      </w:r>
      <w:r w:rsidR="00B97769" w:rsidRPr="002B2F22">
        <w:rPr>
          <w:b/>
          <w:bCs/>
          <w:sz w:val="24"/>
          <w:szCs w:val="24"/>
        </w:rPr>
        <w:t xml:space="preserve">9 chapters, and these contain in all 33 </w:t>
      </w:r>
      <w:r w:rsidR="000F4BDE" w:rsidRPr="002B2F22">
        <w:rPr>
          <w:b/>
          <w:bCs/>
          <w:sz w:val="24"/>
          <w:szCs w:val="24"/>
        </w:rPr>
        <w:t>articles’</w:t>
      </w:r>
      <w:r w:rsidR="00F81D30" w:rsidRPr="002B2F22">
        <w:rPr>
          <w:b/>
          <w:bCs/>
          <w:sz w:val="24"/>
          <w:szCs w:val="24"/>
        </w:rPr>
        <w:t xml:space="preserve"> 16-52.</w:t>
      </w:r>
    </w:p>
    <w:p w14:paraId="71018B94" w14:textId="167D08A1" w:rsidR="00E5341D" w:rsidRPr="007105CB" w:rsidRDefault="0092312F">
      <w:pPr>
        <w:rPr>
          <w:b/>
          <w:bCs/>
          <w:sz w:val="24"/>
          <w:szCs w:val="24"/>
        </w:rPr>
      </w:pPr>
      <w:r w:rsidRPr="007105CB">
        <w:rPr>
          <w:b/>
          <w:bCs/>
          <w:sz w:val="24"/>
          <w:szCs w:val="24"/>
        </w:rPr>
        <w:t>The Annexes</w:t>
      </w:r>
      <w:r w:rsidR="00C0536E" w:rsidRPr="007105CB">
        <w:rPr>
          <w:b/>
          <w:bCs/>
          <w:sz w:val="24"/>
          <w:szCs w:val="24"/>
        </w:rPr>
        <w:t xml:space="preserve"> contain the attached 8 annexes</w:t>
      </w:r>
      <w:r w:rsidR="00EF00CF" w:rsidRPr="007105CB">
        <w:rPr>
          <w:b/>
          <w:bCs/>
          <w:sz w:val="24"/>
          <w:szCs w:val="24"/>
        </w:rPr>
        <w:t xml:space="preserve"> with specific </w:t>
      </w:r>
      <w:r w:rsidR="005241F9" w:rsidRPr="007105CB">
        <w:rPr>
          <w:b/>
          <w:bCs/>
          <w:sz w:val="24"/>
          <w:szCs w:val="24"/>
        </w:rPr>
        <w:t>definitions</w:t>
      </w:r>
      <w:r w:rsidR="004411B2" w:rsidRPr="007105CB">
        <w:rPr>
          <w:b/>
          <w:bCs/>
          <w:sz w:val="24"/>
          <w:szCs w:val="24"/>
        </w:rPr>
        <w:t>.</w:t>
      </w:r>
    </w:p>
    <w:p w14:paraId="3770F341" w14:textId="77777777" w:rsidR="00482435" w:rsidRDefault="00482435"/>
    <w:p w14:paraId="0306EE82" w14:textId="519BCF9C" w:rsidR="00482435" w:rsidRDefault="00D3153B">
      <w:r>
        <w:t xml:space="preserve">The </w:t>
      </w:r>
      <w:r w:rsidR="00482435">
        <w:t>Explanatory memorandum</w:t>
      </w:r>
      <w:r w:rsidR="00073857">
        <w:t xml:space="preserve"> contains 5 </w:t>
      </w:r>
      <w:r>
        <w:t>elements:</w:t>
      </w:r>
    </w:p>
    <w:p w14:paraId="2237AD72" w14:textId="77777777" w:rsidR="004561A2" w:rsidRDefault="00D3153B">
      <w:r>
        <w:t>1</w:t>
      </w:r>
      <w:r w:rsidR="006976CA">
        <w:t xml:space="preserve"> </w:t>
      </w:r>
      <w:r>
        <w:t>Context of the proposal</w:t>
      </w:r>
      <w:r w:rsidR="004561A2">
        <w:t>:</w:t>
      </w:r>
    </w:p>
    <w:p w14:paraId="63B21066" w14:textId="57383435" w:rsidR="00D3153B" w:rsidRDefault="00155104" w:rsidP="0047146A">
      <w:pPr>
        <w:spacing w:line="240" w:lineRule="auto"/>
      </w:pPr>
      <w:r>
        <w:t>Reasons for and objectives of the proposal</w:t>
      </w:r>
    </w:p>
    <w:p w14:paraId="76ADBDDA" w14:textId="27B8CA6B" w:rsidR="0047146A" w:rsidRDefault="0047146A" w:rsidP="0047146A">
      <w:pPr>
        <w:spacing w:line="240" w:lineRule="auto"/>
      </w:pPr>
      <w:r>
        <w:t>Consistency with existing policy provision in the policy area</w:t>
      </w:r>
    </w:p>
    <w:p w14:paraId="0ED5A98A" w14:textId="5DBFD8CD" w:rsidR="0047146A" w:rsidRDefault="00C96696" w:rsidP="0047146A">
      <w:pPr>
        <w:spacing w:line="240" w:lineRule="auto"/>
      </w:pPr>
      <w:r>
        <w:t>Consistency with other EU policies</w:t>
      </w:r>
    </w:p>
    <w:p w14:paraId="59329F67" w14:textId="77777777" w:rsidR="00C96696" w:rsidRDefault="00C96696" w:rsidP="0047146A">
      <w:pPr>
        <w:spacing w:line="240" w:lineRule="auto"/>
      </w:pPr>
    </w:p>
    <w:p w14:paraId="33BEEA56" w14:textId="542A40C3" w:rsidR="00C96696" w:rsidRDefault="00C634C4" w:rsidP="0047146A">
      <w:pPr>
        <w:spacing w:line="240" w:lineRule="auto"/>
      </w:pPr>
      <w:r>
        <w:t xml:space="preserve">2 Legal basis, subsidiarity and </w:t>
      </w:r>
      <w:r w:rsidR="00652E3C">
        <w:t>proportionality</w:t>
      </w:r>
    </w:p>
    <w:p w14:paraId="555FB02C" w14:textId="07DF4E5B" w:rsidR="00652E3C" w:rsidRDefault="00652E3C" w:rsidP="0047146A">
      <w:pPr>
        <w:spacing w:line="240" w:lineRule="auto"/>
      </w:pPr>
      <w:r>
        <w:t xml:space="preserve">3 Results of ex-post evaluations, stakeholder consultations and impact </w:t>
      </w:r>
      <w:r w:rsidR="0043282B">
        <w:t>assessments</w:t>
      </w:r>
    </w:p>
    <w:p w14:paraId="3964727B" w14:textId="76F36518" w:rsidR="00970C37" w:rsidRDefault="0009675F">
      <w:r>
        <w:t>4 Budget implications</w:t>
      </w:r>
    </w:p>
    <w:p w14:paraId="589532EE" w14:textId="2E6A9988" w:rsidR="0009675F" w:rsidRDefault="0009675F">
      <w:r>
        <w:t>5 Other elements</w:t>
      </w:r>
    </w:p>
    <w:p w14:paraId="069F0F44" w14:textId="77777777" w:rsidR="002C7094" w:rsidRDefault="002C7094"/>
    <w:p w14:paraId="365FE7DF" w14:textId="77777777" w:rsidR="00C47B19" w:rsidRPr="00B6467C" w:rsidRDefault="00DD7E5A" w:rsidP="00C71F1C">
      <w:pPr>
        <w:spacing w:line="240" w:lineRule="auto"/>
        <w:rPr>
          <w:b/>
          <w:bCs/>
          <w:sz w:val="24"/>
          <w:szCs w:val="24"/>
        </w:rPr>
      </w:pPr>
      <w:r w:rsidRPr="00B6467C">
        <w:rPr>
          <w:b/>
          <w:bCs/>
          <w:sz w:val="24"/>
          <w:szCs w:val="24"/>
        </w:rPr>
        <w:t>Bents c</w:t>
      </w:r>
      <w:r w:rsidR="00A838E0" w:rsidRPr="00B6467C">
        <w:rPr>
          <w:b/>
          <w:bCs/>
          <w:sz w:val="24"/>
          <w:szCs w:val="24"/>
        </w:rPr>
        <w:t>omments to the Explana</w:t>
      </w:r>
      <w:r w:rsidRPr="00B6467C">
        <w:rPr>
          <w:b/>
          <w:bCs/>
          <w:sz w:val="24"/>
          <w:szCs w:val="24"/>
        </w:rPr>
        <w:t>tory memorandum:</w:t>
      </w:r>
      <w:r w:rsidR="003624BA" w:rsidRPr="00B6467C">
        <w:rPr>
          <w:b/>
          <w:bCs/>
          <w:sz w:val="24"/>
          <w:szCs w:val="24"/>
        </w:rPr>
        <w:t xml:space="preserve"> </w:t>
      </w:r>
    </w:p>
    <w:p w14:paraId="79C487CA" w14:textId="3B47C658" w:rsidR="007573BA" w:rsidRDefault="00F91842" w:rsidP="00C71F1C">
      <w:pPr>
        <w:spacing w:line="240" w:lineRule="auto"/>
      </w:pPr>
      <w:r>
        <w:t xml:space="preserve">The reasons for </w:t>
      </w:r>
      <w:r w:rsidR="00186D0A">
        <w:t xml:space="preserve">making an update on the rules on certification and marketing of FRM is the developments </w:t>
      </w:r>
      <w:r w:rsidR="00ED72EA">
        <w:t xml:space="preserve">since the </w:t>
      </w:r>
      <w:r w:rsidR="006A3FB1">
        <w:t xml:space="preserve">adoption of </w:t>
      </w:r>
      <w:r w:rsidR="00ED72EA">
        <w:t>Directive 1999/105/EC</w:t>
      </w:r>
      <w:r w:rsidR="005920DF">
        <w:t>.</w:t>
      </w:r>
    </w:p>
    <w:p w14:paraId="517E93E3" w14:textId="039A4BF2" w:rsidR="00DD7E5A" w:rsidRDefault="005920DF" w:rsidP="00C71F1C">
      <w:pPr>
        <w:spacing w:line="240" w:lineRule="auto"/>
      </w:pPr>
      <w:r>
        <w:t>F</w:t>
      </w:r>
      <w:r w:rsidR="00110623">
        <w:t xml:space="preserve">irst </w:t>
      </w:r>
      <w:r>
        <w:t xml:space="preserve">is </w:t>
      </w:r>
      <w:r w:rsidR="00BD56CB">
        <w:t>The European Green Deal</w:t>
      </w:r>
      <w:r>
        <w:t xml:space="preserve"> </w:t>
      </w:r>
      <w:r w:rsidR="006E11C7">
        <w:t>which consist</w:t>
      </w:r>
      <w:r w:rsidR="008237C3">
        <w:t xml:space="preserve"> o</w:t>
      </w:r>
      <w:r w:rsidR="006E11C7">
        <w:t>f</w:t>
      </w:r>
      <w:r w:rsidR="004F378B">
        <w:t>: European Climate Law</w:t>
      </w:r>
      <w:r w:rsidR="00AA36C0">
        <w:t xml:space="preserve">, </w:t>
      </w:r>
      <w:r w:rsidR="009D0ABE" w:rsidRPr="00BA5E7D">
        <w:t>EU Strategy on Adaptation to Climate Change</w:t>
      </w:r>
      <w:r w:rsidR="00FE5FE6">
        <w:t xml:space="preserve">, </w:t>
      </w:r>
      <w:r w:rsidR="00FE5FE6" w:rsidRPr="00BA5E7D">
        <w:t>New EU Forest Strategy for 2030</w:t>
      </w:r>
      <w:r w:rsidR="006927A3">
        <w:t xml:space="preserve">, </w:t>
      </w:r>
      <w:r w:rsidR="00743104" w:rsidRPr="00BA5E7D">
        <w:t>the EU Biodiversity Strategy for 2030</w:t>
      </w:r>
      <w:r w:rsidR="006E11C7">
        <w:t>.</w:t>
      </w:r>
    </w:p>
    <w:p w14:paraId="6A3E792F" w14:textId="77777777" w:rsidR="00582D83" w:rsidRDefault="007573BA" w:rsidP="00C71F1C">
      <w:pPr>
        <w:spacing w:line="240" w:lineRule="auto"/>
      </w:pPr>
      <w:r>
        <w:t xml:space="preserve">Second is the </w:t>
      </w:r>
      <w:r w:rsidR="00A46308">
        <w:t xml:space="preserve">developments in the OECD </w:t>
      </w:r>
      <w:r w:rsidR="00245C2D">
        <w:t xml:space="preserve">Forest </w:t>
      </w:r>
      <w:r w:rsidR="00D17790">
        <w:t xml:space="preserve">Seed and </w:t>
      </w:r>
      <w:r w:rsidR="0073311E">
        <w:t>P</w:t>
      </w:r>
      <w:r w:rsidR="00D17790">
        <w:t xml:space="preserve">lant </w:t>
      </w:r>
      <w:r w:rsidR="00A46308">
        <w:t>Scheme</w:t>
      </w:r>
      <w:r w:rsidR="00245C2D">
        <w:t>, as EU certification and marketing</w:t>
      </w:r>
      <w:r w:rsidR="009E695C">
        <w:t xml:space="preserve"> aims to be coherent to the OECD Scheme</w:t>
      </w:r>
      <w:r w:rsidR="00CE7F60">
        <w:t>, and developments are made in cooperation</w:t>
      </w:r>
      <w:r w:rsidR="00582D83">
        <w:t>.</w:t>
      </w:r>
    </w:p>
    <w:p w14:paraId="2E7FBDB9" w14:textId="12992B41" w:rsidR="004B2019" w:rsidRDefault="00582D83" w:rsidP="00C71F1C">
      <w:pPr>
        <w:spacing w:line="240" w:lineRule="auto"/>
      </w:pPr>
      <w:r>
        <w:t>Third is the experience gained</w:t>
      </w:r>
      <w:r w:rsidR="00621091">
        <w:t xml:space="preserve"> during the </w:t>
      </w:r>
      <w:r w:rsidR="008C2D3B">
        <w:t xml:space="preserve">years of </w:t>
      </w:r>
      <w:r w:rsidR="00621091">
        <w:t>implementation of Directive 1999/105/EC</w:t>
      </w:r>
      <w:r w:rsidR="004B2019">
        <w:t>.</w:t>
      </w:r>
    </w:p>
    <w:p w14:paraId="30C5A79E" w14:textId="77777777" w:rsidR="007A6D85" w:rsidRDefault="007A6D85" w:rsidP="00C71F1C">
      <w:pPr>
        <w:spacing w:line="240" w:lineRule="auto"/>
      </w:pPr>
    </w:p>
    <w:p w14:paraId="30F1E196" w14:textId="64842FF1" w:rsidR="007A6D85" w:rsidRDefault="007A6D85" w:rsidP="00C71F1C">
      <w:pPr>
        <w:spacing w:line="240" w:lineRule="auto"/>
      </w:pPr>
      <w:r>
        <w:t xml:space="preserve">There is </w:t>
      </w:r>
      <w:r w:rsidR="00CF7E3A">
        <w:t xml:space="preserve">a wish to have </w:t>
      </w:r>
      <w:r w:rsidR="00096393">
        <w:t xml:space="preserve">the </w:t>
      </w:r>
      <w:r w:rsidR="00CF7E3A">
        <w:t>use of FRM</w:t>
      </w:r>
      <w:r w:rsidR="00096393">
        <w:t xml:space="preserve"> defined on more specific </w:t>
      </w:r>
      <w:r w:rsidR="003549DC">
        <w:t>purposes</w:t>
      </w:r>
      <w:r w:rsidR="008E7A58">
        <w:t>:</w:t>
      </w:r>
      <w:r w:rsidR="00C019F3">
        <w:t xml:space="preserve"> Afforestation,</w:t>
      </w:r>
      <w:r w:rsidR="00CD7B7A">
        <w:t xml:space="preserve"> reforestation and other types of tree planting</w:t>
      </w:r>
      <w:r w:rsidR="000162DA">
        <w:t>.</w:t>
      </w:r>
    </w:p>
    <w:p w14:paraId="0D2954B6" w14:textId="6C07A289" w:rsidR="000D242D" w:rsidRDefault="000162DA" w:rsidP="000D242D">
      <w:pPr>
        <w:ind w:left="845"/>
      </w:pPr>
      <w:r>
        <w:t>The other types of tree planting purposes are listed.</w:t>
      </w:r>
      <w:r w:rsidR="000D242D" w:rsidRPr="000D242D">
        <w:t xml:space="preserve"> </w:t>
      </w:r>
      <w:r w:rsidR="000D242D" w:rsidRPr="00BA5E7D">
        <w:t xml:space="preserve">i) wood and biomaterials production, (ii) biodiversity conservation, (iii) restoration of forest ecosystems, (iv) climate adaptation, (v) climate mitigation and (vi) conservation and sustainable use of forest genetic resources. </w:t>
      </w:r>
    </w:p>
    <w:p w14:paraId="4E3FF92D" w14:textId="419565FE" w:rsidR="000D242D" w:rsidRDefault="00245702" w:rsidP="000D242D">
      <w:pPr>
        <w:ind w:left="845"/>
      </w:pPr>
      <w:r>
        <w:lastRenderedPageBreak/>
        <w:t>The introduction of Agroforestry as a</w:t>
      </w:r>
      <w:r w:rsidR="00CA241E">
        <w:t xml:space="preserve"> </w:t>
      </w:r>
      <w:r>
        <w:t>purpose is</w:t>
      </w:r>
      <w:r w:rsidR="00CA241E">
        <w:t xml:space="preserve"> not included</w:t>
      </w:r>
      <w:r w:rsidR="0027771D">
        <w:t>,</w:t>
      </w:r>
      <w:r w:rsidR="00CA241E">
        <w:t xml:space="preserve"> as some Member States (MS) </w:t>
      </w:r>
      <w:r w:rsidR="0027771D">
        <w:t>was against this.</w:t>
      </w:r>
    </w:p>
    <w:p w14:paraId="14478D7B" w14:textId="05DC57B0" w:rsidR="00345061" w:rsidRDefault="00A6540A" w:rsidP="000D242D">
      <w:pPr>
        <w:ind w:left="845"/>
      </w:pPr>
      <w:r>
        <w:t xml:space="preserve">The need for a separate Regulations is </w:t>
      </w:r>
      <w:r w:rsidR="00FB4A46">
        <w:t>the a</w:t>
      </w:r>
      <w:r w:rsidR="00FD2E1A">
        <w:t xml:space="preserve">cknowledgement of </w:t>
      </w:r>
      <w:r w:rsidR="00416803">
        <w:t xml:space="preserve">long productions cycles and </w:t>
      </w:r>
      <w:r w:rsidR="00C62E74">
        <w:t>it must be harvested from Basic Material</w:t>
      </w:r>
      <w:r w:rsidR="00332C69">
        <w:t xml:space="preserve"> to secure high-quality FRM.</w:t>
      </w:r>
      <w:r w:rsidR="00FF656E">
        <w:t xml:space="preserve"> It is then </w:t>
      </w:r>
      <w:r w:rsidR="00B47185">
        <w:t>essential to ensure traceability</w:t>
      </w:r>
      <w:r w:rsidR="00CC662E">
        <w:t xml:space="preserve"> to the parent trees</w:t>
      </w:r>
      <w:r w:rsidR="001B56F8">
        <w:t>, but now also information on the climatic and ecological conditions</w:t>
      </w:r>
      <w:r w:rsidR="0036282F">
        <w:t xml:space="preserve"> under which those parent trees were grown.</w:t>
      </w:r>
    </w:p>
    <w:p w14:paraId="6D3B31D5" w14:textId="4C3E7B87" w:rsidR="00E53552" w:rsidRDefault="00E53552" w:rsidP="000D242D">
      <w:pPr>
        <w:ind w:left="845"/>
      </w:pPr>
      <w:r>
        <w:t xml:space="preserve">The approval system for Basic Material is </w:t>
      </w:r>
      <w:r w:rsidR="00E62042">
        <w:t xml:space="preserve">still </w:t>
      </w:r>
      <w:r w:rsidR="0078553B">
        <w:t>base</w:t>
      </w:r>
      <w:r w:rsidR="00FB5281">
        <w:t>d</w:t>
      </w:r>
      <w:r w:rsidR="0078553B">
        <w:t xml:space="preserve"> on selection on superior </w:t>
      </w:r>
      <w:r w:rsidR="00F52922">
        <w:t>characteristics</w:t>
      </w:r>
      <w:r w:rsidR="002B2E55">
        <w:t>.</w:t>
      </w:r>
      <w:r w:rsidR="00407D77">
        <w:t xml:space="preserve"> The National Competent Authorities</w:t>
      </w:r>
      <w:r w:rsidR="001E1F4D">
        <w:t xml:space="preserve"> will </w:t>
      </w:r>
      <w:r w:rsidR="00932CF9">
        <w:t xml:space="preserve">approve </w:t>
      </w:r>
      <w:r w:rsidR="00A92D15">
        <w:t xml:space="preserve">Basic Material and </w:t>
      </w:r>
      <w:r w:rsidR="00785D58">
        <w:t>register this in a National Register</w:t>
      </w:r>
      <w:r w:rsidR="00FE4ACF">
        <w:t xml:space="preserve"> in a form that wi</w:t>
      </w:r>
      <w:r w:rsidR="00E71B58">
        <w:t>ll</w:t>
      </w:r>
      <w:r w:rsidR="00FE4ACF">
        <w:t xml:space="preserve"> be</w:t>
      </w:r>
      <w:r w:rsidR="007210BF">
        <w:t xml:space="preserve"> able to</w:t>
      </w:r>
      <w:r w:rsidR="00FE4ACF">
        <w:t xml:space="preserve"> </w:t>
      </w:r>
      <w:r w:rsidR="000C1672">
        <w:t>transfer</w:t>
      </w:r>
      <w:r w:rsidR="00B012BE">
        <w:t xml:space="preserve">red </w:t>
      </w:r>
      <w:r w:rsidR="00FE4ACF">
        <w:t>to the EU Register FOREMATIS.</w:t>
      </w:r>
      <w:r w:rsidR="00F52922">
        <w:t xml:space="preserve"> It is </w:t>
      </w:r>
      <w:r w:rsidR="00095414">
        <w:t xml:space="preserve">foreseen some countries have timber and pulp industry as the most important </w:t>
      </w:r>
      <w:r w:rsidR="009E4CD1">
        <w:t>economic activity</w:t>
      </w:r>
      <w:r w:rsidR="00681975">
        <w:t xml:space="preserve">, and </w:t>
      </w:r>
      <w:r w:rsidR="002149E6">
        <w:t>hence</w:t>
      </w:r>
      <w:r w:rsidR="00681975">
        <w:t xml:space="preserve"> wood quality as the most important selection criteria</w:t>
      </w:r>
      <w:r w:rsidR="002149E6">
        <w:t xml:space="preserve">. </w:t>
      </w:r>
      <w:r w:rsidR="009E4CD1">
        <w:t xml:space="preserve">In other Member States </w:t>
      </w:r>
      <w:r w:rsidR="00706CB3">
        <w:t>FRM will be produced to serve several other purpose</w:t>
      </w:r>
      <w:r w:rsidR="00C17879">
        <w:t>s</w:t>
      </w:r>
      <w:r w:rsidR="00FD600A">
        <w:t xml:space="preserve"> and create multifunctional ecosystems. </w:t>
      </w:r>
      <w:r w:rsidR="00017DED">
        <w:t>Th</w:t>
      </w:r>
      <w:r w:rsidR="009F40A5">
        <w:t>is gives</w:t>
      </w:r>
      <w:r w:rsidR="00017DED">
        <w:t xml:space="preserve"> is a need for </w:t>
      </w:r>
      <w:r w:rsidR="00C17879">
        <w:t>sustainability</w:t>
      </w:r>
      <w:r w:rsidR="00C950E3">
        <w:t xml:space="preserve"> of FRM for current and future climatic conditions</w:t>
      </w:r>
      <w:r w:rsidR="0030234C">
        <w:t xml:space="preserve"> </w:t>
      </w:r>
      <w:r w:rsidR="009E72F6">
        <w:t>where genetic diversity is import</w:t>
      </w:r>
      <w:r w:rsidR="003D3F74">
        <w:t>an</w:t>
      </w:r>
      <w:r w:rsidR="009E72F6">
        <w:t>t.</w:t>
      </w:r>
      <w:r w:rsidR="000A73C7">
        <w:t xml:space="preserve"> </w:t>
      </w:r>
    </w:p>
    <w:p w14:paraId="1FD2B83D" w14:textId="309CCABD" w:rsidR="005976AB" w:rsidRDefault="005976AB" w:rsidP="000D242D">
      <w:pPr>
        <w:ind w:left="845"/>
      </w:pPr>
      <w:r>
        <w:t>It is ensured that Member States</w:t>
      </w:r>
      <w:r w:rsidR="00062B9D">
        <w:t xml:space="preserve"> can produce FRM for the purposes that are relevant </w:t>
      </w:r>
      <w:r w:rsidR="00B87690">
        <w:t>in their territory</w:t>
      </w:r>
      <w:r w:rsidR="00E50A74">
        <w:t>.</w:t>
      </w:r>
    </w:p>
    <w:p w14:paraId="6021A722" w14:textId="3CE3EDE6" w:rsidR="00732B3C" w:rsidRDefault="00732B3C" w:rsidP="000D242D">
      <w:pPr>
        <w:ind w:left="845"/>
      </w:pPr>
      <w:r>
        <w:t xml:space="preserve">These </w:t>
      </w:r>
      <w:r w:rsidR="0089640D">
        <w:t>reasons are listed in 3 general objectives</w:t>
      </w:r>
      <w:r w:rsidR="00FD34A9">
        <w:t xml:space="preserve">: </w:t>
      </w:r>
      <w:r w:rsidR="00886284">
        <w:t>F</w:t>
      </w:r>
      <w:r w:rsidR="00123ED5">
        <w:t>air competition in all Europe (= level playing field for operators)</w:t>
      </w:r>
      <w:r w:rsidR="00886284">
        <w:t xml:space="preserve">, Support </w:t>
      </w:r>
      <w:r w:rsidR="00E90C21">
        <w:t>innovation and competitiveness of the FRM indu</w:t>
      </w:r>
      <w:r w:rsidR="00D82BDB">
        <w:t xml:space="preserve">stry in EU and </w:t>
      </w:r>
      <w:r w:rsidR="00E876C4">
        <w:t>C</w:t>
      </w:r>
      <w:r w:rsidR="00F66DE3">
        <w:t>ontribute</w:t>
      </w:r>
      <w:r w:rsidR="00D82BDB">
        <w:t xml:space="preserve"> to the </w:t>
      </w:r>
      <w:r w:rsidR="00F66DE3">
        <w:t>problems on</w:t>
      </w:r>
      <w:r w:rsidR="00915125">
        <w:t xml:space="preserve"> clima</w:t>
      </w:r>
      <w:r w:rsidR="001458C9">
        <w:t>te</w:t>
      </w:r>
      <w:r w:rsidR="00915125">
        <w:t xml:space="preserve"> </w:t>
      </w:r>
      <w:r w:rsidR="001458C9">
        <w:t>change, biodiversity and sustainability</w:t>
      </w:r>
      <w:r w:rsidR="00F66DE3">
        <w:t>.</w:t>
      </w:r>
    </w:p>
    <w:p w14:paraId="5A8521F7" w14:textId="77777777" w:rsidR="00B14190" w:rsidRDefault="00CF6271" w:rsidP="00B14190">
      <w:pPr>
        <w:spacing w:after="110" w:line="250" w:lineRule="auto"/>
        <w:ind w:left="1401"/>
        <w:jc w:val="both"/>
      </w:pPr>
      <w:r>
        <w:t xml:space="preserve">There are </w:t>
      </w:r>
      <w:r w:rsidR="001D7DE9">
        <w:t>6 specific objectives they also want to address:</w:t>
      </w:r>
      <w:r w:rsidR="00ED7AB6">
        <w:t xml:space="preserve"> </w:t>
      </w:r>
    </w:p>
    <w:p w14:paraId="254E3997" w14:textId="47908439" w:rsidR="00ED7AB6" w:rsidRPr="00BA5E7D" w:rsidRDefault="00ED7AB6" w:rsidP="00ED7AB6">
      <w:pPr>
        <w:numPr>
          <w:ilvl w:val="0"/>
          <w:numId w:val="2"/>
        </w:numPr>
        <w:spacing w:after="110" w:line="250" w:lineRule="auto"/>
        <w:ind w:hanging="566"/>
        <w:jc w:val="both"/>
      </w:pPr>
      <w:r w:rsidRPr="00BA5E7D">
        <w:t xml:space="preserve">To increase clarity and coherence of the legal framework through simplified, clarified and </w:t>
      </w:r>
      <w:r w:rsidR="00E71513" w:rsidRPr="00BA5E7D">
        <w:t>harmonized</w:t>
      </w:r>
      <w:r w:rsidRPr="00BA5E7D">
        <w:t xml:space="preserve"> basic rules on fundamental principles presented in a modern legal </w:t>
      </w:r>
      <w:r w:rsidR="00E71513" w:rsidRPr="00BA5E7D">
        <w:t>form.</w:t>
      </w:r>
      <w:r w:rsidRPr="00BA5E7D">
        <w:t xml:space="preserve"> </w:t>
      </w:r>
    </w:p>
    <w:p w14:paraId="45042EB8" w14:textId="193A041B" w:rsidR="00ED7AB6" w:rsidRPr="00BA5E7D" w:rsidRDefault="00ED7AB6" w:rsidP="00ED7AB6">
      <w:pPr>
        <w:numPr>
          <w:ilvl w:val="0"/>
          <w:numId w:val="2"/>
        </w:numPr>
        <w:spacing w:after="110" w:line="250" w:lineRule="auto"/>
        <w:ind w:hanging="566"/>
        <w:jc w:val="both"/>
      </w:pPr>
      <w:r w:rsidRPr="00BA5E7D">
        <w:t>To enable the uptake of new scientific and technical developments (in particular, innovative production processes, bio-molecular techniques and digital solutions</w:t>
      </w:r>
      <w:r w:rsidR="00E71513" w:rsidRPr="00BA5E7D">
        <w:t>).</w:t>
      </w:r>
      <w:r w:rsidRPr="00BA5E7D">
        <w:t xml:space="preserve"> </w:t>
      </w:r>
    </w:p>
    <w:p w14:paraId="4C813304" w14:textId="24ABC5B9" w:rsidR="00ED7AB6" w:rsidRPr="00BA5E7D" w:rsidRDefault="00ED7AB6" w:rsidP="00ED7AB6">
      <w:pPr>
        <w:numPr>
          <w:ilvl w:val="0"/>
          <w:numId w:val="2"/>
        </w:numPr>
        <w:spacing w:after="110" w:line="250" w:lineRule="auto"/>
        <w:ind w:hanging="566"/>
        <w:jc w:val="both"/>
      </w:pPr>
      <w:r w:rsidRPr="00BA5E7D">
        <w:t xml:space="preserve">To ensure availability of FRM suitable for future </w:t>
      </w:r>
      <w:r w:rsidR="00E71513" w:rsidRPr="00BA5E7D">
        <w:t>challenges.</w:t>
      </w:r>
      <w:r w:rsidRPr="00BA5E7D">
        <w:t xml:space="preserve"> </w:t>
      </w:r>
    </w:p>
    <w:p w14:paraId="138F090E" w14:textId="77777777" w:rsidR="00ED7AB6" w:rsidRPr="00BA5E7D" w:rsidRDefault="00ED7AB6" w:rsidP="00ED7AB6">
      <w:pPr>
        <w:numPr>
          <w:ilvl w:val="0"/>
          <w:numId w:val="2"/>
        </w:numPr>
        <w:spacing w:after="110" w:line="250" w:lineRule="auto"/>
        <w:ind w:hanging="566"/>
        <w:jc w:val="both"/>
      </w:pPr>
      <w:r w:rsidRPr="00BA5E7D">
        <w:t xml:space="preserve">To support the conservation and sustainable use of forest genetic resources. </w:t>
      </w:r>
    </w:p>
    <w:p w14:paraId="715B2770" w14:textId="144BB947" w:rsidR="00ED7AB6" w:rsidRPr="00BA5E7D" w:rsidRDefault="00ED7AB6" w:rsidP="00ED7AB6">
      <w:pPr>
        <w:numPr>
          <w:ilvl w:val="0"/>
          <w:numId w:val="2"/>
        </w:numPr>
        <w:spacing w:after="110" w:line="250" w:lineRule="auto"/>
        <w:ind w:hanging="566"/>
        <w:jc w:val="both"/>
      </w:pPr>
      <w:r w:rsidRPr="00BA5E7D">
        <w:t xml:space="preserve">To </w:t>
      </w:r>
      <w:r w:rsidR="00E71513" w:rsidRPr="00BA5E7D">
        <w:t>harmonize</w:t>
      </w:r>
      <w:r w:rsidRPr="00BA5E7D">
        <w:t xml:space="preserve"> the framework for official controls on </w:t>
      </w:r>
      <w:r w:rsidR="00E71513" w:rsidRPr="00BA5E7D">
        <w:t>FRM.</w:t>
      </w:r>
      <w:r w:rsidRPr="00BA5E7D">
        <w:t xml:space="preserve"> </w:t>
      </w:r>
    </w:p>
    <w:p w14:paraId="5104ED38" w14:textId="77777777" w:rsidR="00ED7AB6" w:rsidRDefault="00ED7AB6" w:rsidP="00ED7AB6">
      <w:pPr>
        <w:numPr>
          <w:ilvl w:val="0"/>
          <w:numId w:val="2"/>
        </w:numPr>
        <w:spacing w:after="110" w:line="250" w:lineRule="auto"/>
        <w:ind w:hanging="566"/>
        <w:jc w:val="both"/>
      </w:pPr>
      <w:r w:rsidRPr="00BA5E7D">
        <w:t xml:space="preserve">To improve coherence of FRM legislation with the Plant health legislation. </w:t>
      </w:r>
    </w:p>
    <w:p w14:paraId="68C3F2D0" w14:textId="77777777" w:rsidR="00A27E60" w:rsidRDefault="00A27E60" w:rsidP="00EB1945">
      <w:pPr>
        <w:spacing w:after="110" w:line="250" w:lineRule="auto"/>
        <w:jc w:val="both"/>
      </w:pPr>
      <w:r>
        <w:t xml:space="preserve"> </w:t>
      </w:r>
    </w:p>
    <w:p w14:paraId="644ECBEE" w14:textId="66A4B90A" w:rsidR="00EB1945" w:rsidRDefault="00A27E60" w:rsidP="00EB1945">
      <w:pPr>
        <w:spacing w:after="110" w:line="250" w:lineRule="auto"/>
        <w:jc w:val="both"/>
      </w:pPr>
      <w:r>
        <w:t xml:space="preserve">In (a) </w:t>
      </w:r>
      <w:r w:rsidR="006E3E90">
        <w:t>t</w:t>
      </w:r>
      <w:r>
        <w:t>hey se</w:t>
      </w:r>
      <w:r w:rsidR="006E3E90">
        <w:t>e</w:t>
      </w:r>
      <w:r>
        <w:t xml:space="preserve"> a need fo</w:t>
      </w:r>
      <w:r w:rsidR="00A23F42">
        <w:t>r harmonizing</w:t>
      </w:r>
      <w:r w:rsidR="00B40AE9">
        <w:t xml:space="preserve"> implementation of rules.</w:t>
      </w:r>
    </w:p>
    <w:p w14:paraId="61BD9CE3" w14:textId="48B25DFC" w:rsidR="006168C5" w:rsidRDefault="006168C5" w:rsidP="00EB1945">
      <w:pPr>
        <w:spacing w:after="110" w:line="250" w:lineRule="auto"/>
        <w:jc w:val="both"/>
      </w:pPr>
      <w:r>
        <w:t xml:space="preserve">In (b) they see a need for introducing </w:t>
      </w:r>
      <w:r w:rsidR="006C30F1">
        <w:t>bio-molecular techniques</w:t>
      </w:r>
      <w:r w:rsidR="006841DC">
        <w:t xml:space="preserve"> for approval of BM</w:t>
      </w:r>
      <w:r w:rsidR="00153ADC">
        <w:t xml:space="preserve"> and digital solutions in administ</w:t>
      </w:r>
      <w:r w:rsidR="00616E9A">
        <w:t>ration</w:t>
      </w:r>
      <w:r w:rsidR="00BD61E4">
        <w:t xml:space="preserve"> and</w:t>
      </w:r>
      <w:r w:rsidR="00616E9A">
        <w:t xml:space="preserve"> labelling</w:t>
      </w:r>
      <w:r w:rsidR="00BD61E4">
        <w:t>.</w:t>
      </w:r>
    </w:p>
    <w:p w14:paraId="282FCDBC" w14:textId="0D29CD42" w:rsidR="00BD61E4" w:rsidRDefault="00BD61E4" w:rsidP="00EB1945">
      <w:pPr>
        <w:spacing w:after="110" w:line="250" w:lineRule="auto"/>
        <w:jc w:val="both"/>
      </w:pPr>
      <w:r>
        <w:t>To make sure the availability</w:t>
      </w:r>
      <w:r w:rsidR="00BF07AD">
        <w:t xml:space="preserve"> of FRM for future challenges they introduce </w:t>
      </w:r>
      <w:r w:rsidR="000A63EA">
        <w:t xml:space="preserve">National Contingency plans for securing FRG </w:t>
      </w:r>
      <w:r w:rsidR="00EE655C">
        <w:t>(Forest</w:t>
      </w:r>
      <w:r w:rsidR="000A63EA">
        <w:t xml:space="preserve"> genetic </w:t>
      </w:r>
      <w:r w:rsidR="00EE655C">
        <w:t>resources</w:t>
      </w:r>
      <w:r w:rsidR="000A63EA">
        <w:t>)</w:t>
      </w:r>
      <w:r w:rsidR="00D16DE7">
        <w:t xml:space="preserve">. This will also support the </w:t>
      </w:r>
      <w:r w:rsidR="000E6755">
        <w:t>conservation and the sustainable use of FRG.</w:t>
      </w:r>
    </w:p>
    <w:p w14:paraId="74F5E0A2" w14:textId="49BBE5E4" w:rsidR="000E6755" w:rsidRDefault="000E6755" w:rsidP="00EB1945">
      <w:pPr>
        <w:spacing w:after="110" w:line="250" w:lineRule="auto"/>
        <w:jc w:val="both"/>
      </w:pPr>
      <w:r>
        <w:t xml:space="preserve">In </w:t>
      </w:r>
      <w:r w:rsidR="00202F09">
        <w:t>(e) they see a need for harmonizing the</w:t>
      </w:r>
      <w:r w:rsidR="00C97F91">
        <w:t xml:space="preserve"> official controls on FRM</w:t>
      </w:r>
      <w:r w:rsidR="00264803">
        <w:t>, also in the light of a level playing ground.</w:t>
      </w:r>
    </w:p>
    <w:p w14:paraId="0FFA6FA5" w14:textId="77777777" w:rsidR="00FA10A3" w:rsidRDefault="00C97F91" w:rsidP="00EB1945">
      <w:pPr>
        <w:spacing w:after="110" w:line="250" w:lineRule="auto"/>
        <w:jc w:val="both"/>
      </w:pPr>
      <w:r>
        <w:t xml:space="preserve">In (f) </w:t>
      </w:r>
      <w:r w:rsidR="00264803">
        <w:t xml:space="preserve">they realize </w:t>
      </w:r>
      <w:r w:rsidR="00736413">
        <w:t>Plant Health</w:t>
      </w:r>
      <w:r w:rsidR="00EF7128">
        <w:t xml:space="preserve"> </w:t>
      </w:r>
      <w:r w:rsidR="00635D22">
        <w:t>(supervision</w:t>
      </w:r>
      <w:r w:rsidR="00EF7128">
        <w:t xml:space="preserve"> and use of more resistant material)</w:t>
      </w:r>
      <w:r w:rsidR="00E97B4B">
        <w:t xml:space="preserve"> is crucial for sustainable forests and this way they want to </w:t>
      </w:r>
      <w:r w:rsidR="00047B33">
        <w:t xml:space="preserve">improve coherence to the Plant Health Legislation. </w:t>
      </w:r>
    </w:p>
    <w:p w14:paraId="45C56290" w14:textId="77777777" w:rsidR="00FA10A3" w:rsidRDefault="00FA10A3" w:rsidP="00EB1945">
      <w:pPr>
        <w:spacing w:after="110" w:line="250" w:lineRule="auto"/>
        <w:jc w:val="both"/>
      </w:pPr>
    </w:p>
    <w:p w14:paraId="3037291F" w14:textId="603748E1" w:rsidR="00FA10A3" w:rsidRDefault="00705AB0" w:rsidP="00EB1945">
      <w:pPr>
        <w:spacing w:after="110" w:line="250" w:lineRule="auto"/>
        <w:jc w:val="both"/>
      </w:pPr>
      <w:r w:rsidRPr="00BA5E7D">
        <w:rPr>
          <w:b/>
        </w:rPr>
        <w:lastRenderedPageBreak/>
        <w:t>Consistency with existing policy provisions in the policy area</w:t>
      </w:r>
    </w:p>
    <w:p w14:paraId="72A24C9A" w14:textId="1599BBC6" w:rsidR="00C97F91" w:rsidRDefault="00047B33" w:rsidP="00EB1945">
      <w:pPr>
        <w:spacing w:after="110" w:line="250" w:lineRule="auto"/>
        <w:jc w:val="both"/>
      </w:pPr>
      <w:r>
        <w:t xml:space="preserve">This will </w:t>
      </w:r>
      <w:r w:rsidR="00552F1B">
        <w:t xml:space="preserve">open for the Risk managed controls and the combination of </w:t>
      </w:r>
      <w:r w:rsidR="00635D22">
        <w:t>the labels of certification and the Plant Passport.</w:t>
      </w:r>
      <w:r w:rsidR="00427A83">
        <w:t xml:space="preserve"> The Suppliers </w:t>
      </w:r>
      <w:r w:rsidR="002A7DAE">
        <w:t xml:space="preserve">documents will now be called Official </w:t>
      </w:r>
      <w:r w:rsidR="00217862">
        <w:t>Label.</w:t>
      </w:r>
    </w:p>
    <w:p w14:paraId="6384E414" w14:textId="77777777" w:rsidR="00150BD8" w:rsidRDefault="00150BD8" w:rsidP="00EB1945">
      <w:pPr>
        <w:spacing w:after="110" w:line="250" w:lineRule="auto"/>
        <w:jc w:val="both"/>
      </w:pPr>
    </w:p>
    <w:p w14:paraId="615F07FA" w14:textId="68F584C4" w:rsidR="00BB63AE" w:rsidRPr="00BB63AE" w:rsidRDefault="0048027A" w:rsidP="00CE5056">
      <w:pPr>
        <w:spacing w:after="112" w:line="249" w:lineRule="auto"/>
      </w:pPr>
      <w:r>
        <w:rPr>
          <w:b/>
        </w:rPr>
        <w:t>Consistency with other EU policies</w:t>
      </w:r>
      <w:r w:rsidR="00CE5056">
        <w:rPr>
          <w:b/>
        </w:rPr>
        <w:t>:</w:t>
      </w:r>
    </w:p>
    <w:p w14:paraId="1A0A286E" w14:textId="77777777" w:rsidR="008155EE" w:rsidRDefault="0079095F" w:rsidP="00BB63AE">
      <w:pPr>
        <w:spacing w:after="112" w:line="249" w:lineRule="auto"/>
        <w:ind w:left="9"/>
        <w:rPr>
          <w:b/>
        </w:rPr>
      </w:pPr>
      <w:r w:rsidRPr="008155EE">
        <w:rPr>
          <w:b/>
        </w:rPr>
        <w:t xml:space="preserve"> </w:t>
      </w:r>
    </w:p>
    <w:p w14:paraId="23B959A1" w14:textId="77777777" w:rsidR="008155EE" w:rsidRDefault="008155EE" w:rsidP="00BB63AE">
      <w:pPr>
        <w:spacing w:after="112" w:line="249" w:lineRule="auto"/>
        <w:ind w:left="9"/>
        <w:rPr>
          <w:b/>
        </w:rPr>
      </w:pPr>
      <w:r>
        <w:rPr>
          <w:b/>
        </w:rPr>
        <w:t>Legal basis</w:t>
      </w:r>
    </w:p>
    <w:p w14:paraId="0A12E450" w14:textId="77777777" w:rsidR="009A33F4" w:rsidRDefault="008155EE" w:rsidP="009A33F4">
      <w:pPr>
        <w:spacing w:after="112" w:line="249" w:lineRule="auto"/>
        <w:ind w:left="9"/>
      </w:pPr>
      <w:r w:rsidRPr="00BA5E7D">
        <w:t>Article 43(2) of the Treaty on the Functioning of the European Union (TFEU)</w:t>
      </w:r>
    </w:p>
    <w:p w14:paraId="137F5E06" w14:textId="77777777" w:rsidR="009A33F4" w:rsidRDefault="009A33F4" w:rsidP="009A33F4">
      <w:pPr>
        <w:spacing w:after="112" w:line="249" w:lineRule="auto"/>
        <w:ind w:left="9"/>
      </w:pPr>
    </w:p>
    <w:p w14:paraId="6FEDE246" w14:textId="1683E024" w:rsidR="009A33F4" w:rsidRDefault="00112F16" w:rsidP="009A33F4">
      <w:pPr>
        <w:spacing w:after="112" w:line="249" w:lineRule="auto"/>
        <w:ind w:left="9"/>
      </w:pPr>
      <w:r w:rsidRPr="00BA5E7D">
        <w:rPr>
          <w:b/>
        </w:rPr>
        <w:t xml:space="preserve">Subsidiarity (for non-exclusive competence)  </w:t>
      </w:r>
    </w:p>
    <w:p w14:paraId="5D89A573" w14:textId="08F7D2BC" w:rsidR="009A33F4" w:rsidRDefault="009A33F4" w:rsidP="009A33F4">
      <w:pPr>
        <w:spacing w:after="112" w:line="249" w:lineRule="auto"/>
        <w:ind w:left="9"/>
      </w:pPr>
      <w:r w:rsidRPr="00BA5E7D">
        <w:t xml:space="preserve">A more </w:t>
      </w:r>
      <w:r w:rsidR="00112F16" w:rsidRPr="00BA5E7D">
        <w:t>harmonized</w:t>
      </w:r>
      <w:r w:rsidRPr="00BA5E7D">
        <w:t xml:space="preserve"> approach </w:t>
      </w:r>
      <w:r w:rsidR="00151ECD" w:rsidRPr="00BA5E7D">
        <w:t>regarding</w:t>
      </w:r>
      <w:r w:rsidRPr="00BA5E7D">
        <w:t xml:space="preserve"> the production and marketing of FRM, cannot be sufficiently achieved at Member State level, because of the complexity, and the international character. The response to the cross-border challenges in relation to climate change, biodiversity and sustainability would be better achieved at EU level. The EU may therefore adopt measures regarding the production and marketing of high-quality FRM that is suitable for climatic and ecological conditions, in accordance with the principle of subsidiarity as set out in Article 5 of the Treaty on European Union. </w:t>
      </w:r>
    </w:p>
    <w:p w14:paraId="39B85739" w14:textId="38CA1026" w:rsidR="00745FFB" w:rsidRDefault="00543E9A" w:rsidP="009A33F4">
      <w:pPr>
        <w:spacing w:after="112" w:line="249" w:lineRule="auto"/>
        <w:ind w:left="9"/>
      </w:pPr>
      <w:r>
        <w:t xml:space="preserve">This will give platform for </w:t>
      </w:r>
      <w:r w:rsidR="006C70A7">
        <w:t>assisted migration (</w:t>
      </w:r>
      <w:r w:rsidR="00814DDA">
        <w:t xml:space="preserve">and </w:t>
      </w:r>
      <w:r w:rsidR="006C70A7">
        <w:t>translocate FRM over borders)</w:t>
      </w:r>
      <w:r w:rsidR="00814DDA">
        <w:t>.</w:t>
      </w:r>
    </w:p>
    <w:p w14:paraId="324E9A85" w14:textId="77777777" w:rsidR="00BB234D" w:rsidRDefault="00BB234D" w:rsidP="009A33F4">
      <w:pPr>
        <w:spacing w:after="112" w:line="249" w:lineRule="auto"/>
        <w:ind w:left="9"/>
      </w:pPr>
    </w:p>
    <w:p w14:paraId="3FAFF23D" w14:textId="0944E6D0" w:rsidR="00BB234D" w:rsidRDefault="006A5AD3" w:rsidP="009A33F4">
      <w:pPr>
        <w:spacing w:after="112" w:line="249" w:lineRule="auto"/>
        <w:ind w:left="9"/>
        <w:rPr>
          <w:b/>
        </w:rPr>
      </w:pPr>
      <w:r>
        <w:rPr>
          <w:b/>
        </w:rPr>
        <w:t>Proportionality</w:t>
      </w:r>
    </w:p>
    <w:p w14:paraId="58F752F3" w14:textId="45910BBC" w:rsidR="008A75FB" w:rsidRDefault="008A75FB" w:rsidP="008A75FB">
      <w:r>
        <w:t>T</w:t>
      </w:r>
      <w:r w:rsidRPr="00BA5E7D">
        <w:t xml:space="preserve">he measures proposed are </w:t>
      </w:r>
      <w:r w:rsidRPr="00BF57D8">
        <w:rPr>
          <w:u w:val="single"/>
        </w:rPr>
        <w:t>limited</w:t>
      </w:r>
      <w:r w:rsidRPr="00BA5E7D">
        <w:t xml:space="preserve"> to actions that need to be taken at EU level </w:t>
      </w:r>
      <w:r w:rsidR="00EE568B" w:rsidRPr="00BA5E7D">
        <w:t>to</w:t>
      </w:r>
      <w:r w:rsidRPr="00BA5E7D">
        <w:t xml:space="preserve"> be effective and efficient. To achieve these needs, Directive 1999/105/EC will be replaced by a Regulation on FRM. This type of instrument is considered most suitable, considering that a key element of the proposal is to establish more </w:t>
      </w:r>
      <w:r w:rsidR="00EE568B" w:rsidRPr="00BA5E7D">
        <w:t>harmonized</w:t>
      </w:r>
      <w:r w:rsidRPr="00BA5E7D">
        <w:t xml:space="preserve"> measures for Member States. </w:t>
      </w:r>
    </w:p>
    <w:p w14:paraId="3F17F2E8" w14:textId="77777777" w:rsidR="00857FC8" w:rsidRDefault="00857FC8" w:rsidP="00857FC8">
      <w:pPr>
        <w:spacing w:after="112" w:line="249" w:lineRule="auto"/>
        <w:rPr>
          <w:b/>
        </w:rPr>
      </w:pPr>
      <w:r>
        <w:rPr>
          <w:b/>
        </w:rPr>
        <w:t xml:space="preserve">Choice of instrument </w:t>
      </w:r>
    </w:p>
    <w:p w14:paraId="77FEDF9C" w14:textId="59C24214" w:rsidR="00857FC8" w:rsidRDefault="00857FC8" w:rsidP="00857FC8">
      <w:pPr>
        <w:spacing w:after="112" w:line="249" w:lineRule="auto"/>
        <w:rPr>
          <w:bCs/>
        </w:rPr>
      </w:pPr>
      <w:r w:rsidRPr="00691CE7">
        <w:rPr>
          <w:bCs/>
        </w:rPr>
        <w:t>A Regulation</w:t>
      </w:r>
      <w:r w:rsidR="008D761C" w:rsidRPr="00691CE7">
        <w:rPr>
          <w:bCs/>
        </w:rPr>
        <w:t xml:space="preserve"> is chosen</w:t>
      </w:r>
      <w:r w:rsidR="00CD7071" w:rsidRPr="00691CE7">
        <w:rPr>
          <w:bCs/>
        </w:rPr>
        <w:t xml:space="preserve"> </w:t>
      </w:r>
      <w:r w:rsidR="00E84924" w:rsidRPr="00691CE7">
        <w:rPr>
          <w:bCs/>
        </w:rPr>
        <w:t xml:space="preserve">also to ensure free movement of </w:t>
      </w:r>
      <w:r w:rsidR="00691CE7" w:rsidRPr="00691CE7">
        <w:rPr>
          <w:bCs/>
        </w:rPr>
        <w:t>FRM.</w:t>
      </w:r>
      <w:r w:rsidR="00CD7071" w:rsidRPr="00691CE7">
        <w:rPr>
          <w:bCs/>
        </w:rPr>
        <w:t xml:space="preserve"> </w:t>
      </w:r>
    </w:p>
    <w:p w14:paraId="113BCF3D" w14:textId="77777777" w:rsidR="00205CEE" w:rsidRDefault="00205CEE" w:rsidP="00857FC8">
      <w:pPr>
        <w:spacing w:after="112" w:line="249" w:lineRule="auto"/>
        <w:rPr>
          <w:bCs/>
        </w:rPr>
      </w:pPr>
    </w:p>
    <w:p w14:paraId="42F3C88F" w14:textId="68F0DE2F" w:rsidR="001F2F3A" w:rsidRDefault="001F2F3A" w:rsidP="001F2F3A">
      <w:pPr>
        <w:tabs>
          <w:tab w:val="center" w:pos="1397"/>
          <w:tab w:val="center" w:pos="2632"/>
          <w:tab w:val="center" w:pos="3839"/>
          <w:tab w:val="center" w:pos="5790"/>
          <w:tab w:val="right" w:pos="9080"/>
        </w:tabs>
        <w:spacing w:after="11" w:line="249" w:lineRule="auto"/>
        <w:rPr>
          <w:b/>
        </w:rPr>
      </w:pPr>
      <w:r w:rsidRPr="00BA5E7D">
        <w:rPr>
          <w:b/>
        </w:rPr>
        <w:t>STAKEHOLDER</w:t>
      </w:r>
      <w:r w:rsidRPr="00BA5E7D">
        <w:rPr>
          <w:b/>
          <w:sz w:val="19"/>
        </w:rPr>
        <w:t xml:space="preserve"> </w:t>
      </w:r>
      <w:r>
        <w:rPr>
          <w:b/>
        </w:rPr>
        <w:t>CONSULTATIONS</w:t>
      </w:r>
      <w:r>
        <w:rPr>
          <w:b/>
          <w:sz w:val="19"/>
        </w:rPr>
        <w:t xml:space="preserve"> </w:t>
      </w:r>
      <w:r>
        <w:rPr>
          <w:b/>
        </w:rPr>
        <w:t>AND</w:t>
      </w:r>
      <w:r>
        <w:rPr>
          <w:b/>
          <w:sz w:val="19"/>
        </w:rPr>
        <w:t xml:space="preserve"> </w:t>
      </w:r>
      <w:r>
        <w:rPr>
          <w:b/>
        </w:rPr>
        <w:t>IMPACT</w:t>
      </w:r>
      <w:r>
        <w:rPr>
          <w:b/>
          <w:sz w:val="19"/>
        </w:rPr>
        <w:t xml:space="preserve"> </w:t>
      </w:r>
      <w:r>
        <w:rPr>
          <w:b/>
        </w:rPr>
        <w:t xml:space="preserve">ASSESSMENTS </w:t>
      </w:r>
    </w:p>
    <w:p w14:paraId="4140196E" w14:textId="77777777" w:rsidR="001F2F3A" w:rsidRDefault="001F2F3A" w:rsidP="001F2F3A">
      <w:pPr>
        <w:tabs>
          <w:tab w:val="center" w:pos="1397"/>
          <w:tab w:val="center" w:pos="2632"/>
          <w:tab w:val="center" w:pos="3839"/>
          <w:tab w:val="center" w:pos="5790"/>
          <w:tab w:val="right" w:pos="9080"/>
        </w:tabs>
        <w:spacing w:after="11" w:line="249" w:lineRule="auto"/>
        <w:rPr>
          <w:b/>
        </w:rPr>
      </w:pPr>
    </w:p>
    <w:p w14:paraId="022EE3B0" w14:textId="0FB6E9D7" w:rsidR="001F2F3A" w:rsidRDefault="001F2F3A" w:rsidP="001F2F3A">
      <w:pPr>
        <w:tabs>
          <w:tab w:val="center" w:pos="1397"/>
          <w:tab w:val="center" w:pos="2632"/>
          <w:tab w:val="center" w:pos="3839"/>
          <w:tab w:val="center" w:pos="5790"/>
          <w:tab w:val="right" w:pos="9080"/>
        </w:tabs>
        <w:spacing w:after="11" w:line="249" w:lineRule="auto"/>
        <w:rPr>
          <w:bCs/>
          <w:iCs/>
        </w:rPr>
      </w:pPr>
      <w:r w:rsidRPr="00B876D3">
        <w:rPr>
          <w:bCs/>
        </w:rPr>
        <w:t xml:space="preserve">They </w:t>
      </w:r>
      <w:r w:rsidR="002A6993">
        <w:rPr>
          <w:bCs/>
        </w:rPr>
        <w:t xml:space="preserve">here </w:t>
      </w:r>
      <w:r w:rsidRPr="00B876D3">
        <w:rPr>
          <w:bCs/>
        </w:rPr>
        <w:t>report on</w:t>
      </w:r>
      <w:r w:rsidR="00374F6B">
        <w:rPr>
          <w:bCs/>
        </w:rPr>
        <w:t xml:space="preserve"> the background for </w:t>
      </w:r>
      <w:r w:rsidR="00B30E8B">
        <w:rPr>
          <w:bCs/>
        </w:rPr>
        <w:t xml:space="preserve">the draft </w:t>
      </w:r>
      <w:r w:rsidR="0051152E">
        <w:rPr>
          <w:bCs/>
        </w:rPr>
        <w:t>proposal,</w:t>
      </w:r>
      <w:r w:rsidR="00374F6B">
        <w:rPr>
          <w:bCs/>
        </w:rPr>
        <w:t xml:space="preserve"> and on the stakeholder </w:t>
      </w:r>
      <w:r w:rsidR="00165E26">
        <w:rPr>
          <w:bCs/>
        </w:rPr>
        <w:t>consultations taken into consideration in th</w:t>
      </w:r>
      <w:r w:rsidR="002A6993">
        <w:rPr>
          <w:bCs/>
        </w:rPr>
        <w:t>is</w:t>
      </w:r>
      <w:r w:rsidR="00165E26">
        <w:rPr>
          <w:bCs/>
        </w:rPr>
        <w:t xml:space="preserve"> final proposal.</w:t>
      </w:r>
      <w:r w:rsidR="004A4D07">
        <w:rPr>
          <w:bCs/>
        </w:rPr>
        <w:t xml:space="preserve"> </w:t>
      </w:r>
      <w:r w:rsidR="0051152E">
        <w:rPr>
          <w:bCs/>
        </w:rPr>
        <w:t xml:space="preserve">EFNA did </w:t>
      </w:r>
      <w:r w:rsidR="008E5E60">
        <w:rPr>
          <w:bCs/>
        </w:rPr>
        <w:t>give our comments in a letter</w:t>
      </w:r>
      <w:r w:rsidR="00D11D8F">
        <w:rPr>
          <w:bCs/>
        </w:rPr>
        <w:t xml:space="preserve">, by </w:t>
      </w:r>
      <w:r w:rsidR="0038339B">
        <w:rPr>
          <w:bCs/>
        </w:rPr>
        <w:t xml:space="preserve">attended the working group meetings and by </w:t>
      </w:r>
      <w:r w:rsidR="00D11D8F">
        <w:rPr>
          <w:bCs/>
        </w:rPr>
        <w:t>interviews of Bent Leonhard</w:t>
      </w:r>
      <w:r w:rsidR="005D4B61">
        <w:rPr>
          <w:bCs/>
        </w:rPr>
        <w:t xml:space="preserve">. EFNA </w:t>
      </w:r>
      <w:r w:rsidR="000C7753">
        <w:rPr>
          <w:bCs/>
        </w:rPr>
        <w:t xml:space="preserve">did find </w:t>
      </w:r>
      <w:r w:rsidR="0024441E">
        <w:rPr>
          <w:bCs/>
        </w:rPr>
        <w:t>among the 3 policy options</w:t>
      </w:r>
      <w:r w:rsidR="001F6FFB">
        <w:rPr>
          <w:bCs/>
        </w:rPr>
        <w:t xml:space="preserve"> </w:t>
      </w:r>
      <w:r w:rsidR="007B259A">
        <w:rPr>
          <w:bCs/>
        </w:rPr>
        <w:t xml:space="preserve">the </w:t>
      </w:r>
      <w:r w:rsidR="001F6FFB">
        <w:rPr>
          <w:bCs/>
        </w:rPr>
        <w:t xml:space="preserve">Option </w:t>
      </w:r>
      <w:r w:rsidR="007B259A">
        <w:rPr>
          <w:bCs/>
        </w:rPr>
        <w:t xml:space="preserve">2 </w:t>
      </w:r>
      <w:r w:rsidR="007B259A" w:rsidRPr="007B259A">
        <w:rPr>
          <w:b/>
          <w:i/>
          <w:iCs/>
        </w:rPr>
        <w:t xml:space="preserve">Balancing </w:t>
      </w:r>
      <w:r w:rsidR="007B259A" w:rsidRPr="00BA5E7D">
        <w:rPr>
          <w:b/>
          <w:i/>
        </w:rPr>
        <w:t>flexibility and harmonization</w:t>
      </w:r>
      <w:r w:rsidR="007B259A">
        <w:rPr>
          <w:b/>
          <w:i/>
        </w:rPr>
        <w:t xml:space="preserve"> </w:t>
      </w:r>
      <w:r w:rsidR="00B53C0F">
        <w:rPr>
          <w:bCs/>
          <w:iCs/>
        </w:rPr>
        <w:t>as the preferred option.</w:t>
      </w:r>
    </w:p>
    <w:p w14:paraId="38464471" w14:textId="77777777" w:rsidR="00DC32A2" w:rsidRDefault="00DC32A2" w:rsidP="00DC32A2">
      <w:pPr>
        <w:spacing w:after="110" w:line="250" w:lineRule="auto"/>
        <w:jc w:val="both"/>
      </w:pPr>
      <w:r w:rsidRPr="00BA5E7D">
        <w:t xml:space="preserve">Option 2 would bring the official controls on FRM under the scope of the Official Controls Regulation, but with simplified import controls at appropriate places within the EU, to ensure a more targeted and efficient enforcement of the existing rules. Basic principles would be included in the legislation for the use of innovative production processes, bio-molecular techniques and digital solutions. The FRM legislation would cover production for ‘forestry’ and ‘nonforestry’ purposes, to increase FRM availability and quality beyond afforestation/reforestation uses. Sustainability requirements would be extended to the lower FRM categories. General legal requirements would be introduced for contingency planning for major FRM shortages in the event of extreme weather and disasters. </w:t>
      </w:r>
    </w:p>
    <w:p w14:paraId="3F061328" w14:textId="2F5594FD" w:rsidR="00CB2057" w:rsidRPr="00BA5E7D" w:rsidRDefault="00CB2057" w:rsidP="00CB2057">
      <w:r w:rsidRPr="00BA5E7D">
        <w:lastRenderedPageBreak/>
        <w:t xml:space="preserve">The preferred option will bring efficiency gains for operators and competent authorities through (i) the possibility for operators to print the official label under official supervision, (ii) </w:t>
      </w:r>
      <w:r w:rsidR="00980C3B" w:rsidRPr="00BA5E7D">
        <w:t>harmonization</w:t>
      </w:r>
      <w:r w:rsidRPr="00BA5E7D">
        <w:t xml:space="preserve"> with the plant health legislation, (iii) the introduction of risk-based official controls and the possibility to use bio-molecular techniques and (iv) digital solutions in the registration and certification systems. FRM with improved sustainability characteristics will contribute to the adaptation and mitigation of the already visible impact of climate change on forests, therefore delivering important environmental benefits. National contingency plans will ensure a sufficient supply of FRM to reforest areas affected by extreme weather events, wildfires, disease and pest outbreaks, or other disasters. The risk of planting </w:t>
      </w:r>
      <w:r w:rsidR="00980C3B" w:rsidRPr="00BA5E7D">
        <w:t>low-quality</w:t>
      </w:r>
      <w:r w:rsidRPr="00BA5E7D">
        <w:t xml:space="preserve"> FRM will thus be reduced. Finally, benefits are expected for the conservation and sustainable use of forest genetic resources through a </w:t>
      </w:r>
      <w:r w:rsidRPr="00277135">
        <w:rPr>
          <w:u w:val="single"/>
        </w:rPr>
        <w:t>specific derogation</w:t>
      </w:r>
      <w:r w:rsidRPr="00BA5E7D">
        <w:t xml:space="preserve">. </w:t>
      </w:r>
    </w:p>
    <w:p w14:paraId="10C3699B" w14:textId="77777777" w:rsidR="00B947C4" w:rsidRDefault="00B947C4" w:rsidP="00DC32A2">
      <w:pPr>
        <w:spacing w:after="110" w:line="250" w:lineRule="auto"/>
        <w:jc w:val="both"/>
      </w:pPr>
    </w:p>
    <w:p w14:paraId="4CD584C9" w14:textId="77777777" w:rsidR="00B23FB8" w:rsidRDefault="00B23FB8" w:rsidP="00B23FB8">
      <w:pPr>
        <w:spacing w:after="112" w:line="249" w:lineRule="auto"/>
      </w:pPr>
      <w:r>
        <w:rPr>
          <w:b/>
        </w:rPr>
        <w:t>BUDGETARY</w:t>
      </w:r>
      <w:r>
        <w:rPr>
          <w:b/>
          <w:sz w:val="19"/>
        </w:rPr>
        <w:t xml:space="preserve"> </w:t>
      </w:r>
      <w:r>
        <w:rPr>
          <w:b/>
        </w:rPr>
        <w:t xml:space="preserve">IMPLICATIONS </w:t>
      </w:r>
    </w:p>
    <w:p w14:paraId="3653FF71" w14:textId="3688FC91" w:rsidR="00B23FB8" w:rsidRDefault="00B23FB8" w:rsidP="0047171C">
      <w:pPr>
        <w:spacing w:after="351"/>
      </w:pPr>
      <w:r w:rsidRPr="00BA5E7D">
        <w:t>There are no budgetary implications</w:t>
      </w:r>
      <w:r w:rsidR="0047171C">
        <w:t xml:space="preserve"> </w:t>
      </w:r>
      <w:r w:rsidR="00C83EBD">
        <w:t>according to</w:t>
      </w:r>
      <w:r w:rsidR="0047171C">
        <w:t xml:space="preserve"> </w:t>
      </w:r>
      <w:r w:rsidR="00A44E6F">
        <w:t>information from The National Competent Authorities</w:t>
      </w:r>
      <w:r w:rsidR="00585940">
        <w:t xml:space="preserve"> to DG SANTE. But introduction of digital solutions, National Contingency </w:t>
      </w:r>
      <w:r w:rsidR="00F4340D">
        <w:t>Plans, a harmonized control</w:t>
      </w:r>
      <w:r w:rsidR="00E41F31">
        <w:t xml:space="preserve">, demand of extended information on </w:t>
      </w:r>
      <w:r w:rsidR="00DB0122">
        <w:t>purposes for use</w:t>
      </w:r>
      <w:r w:rsidR="00047BB6">
        <w:t xml:space="preserve"> and development of FOREMATIS to a</w:t>
      </w:r>
      <w:r w:rsidR="00C029F1">
        <w:t>n</w:t>
      </w:r>
      <w:r w:rsidR="00047BB6">
        <w:t xml:space="preserve"> operational tool </w:t>
      </w:r>
      <w:r w:rsidR="00C029F1">
        <w:t xml:space="preserve">will all demand financial </w:t>
      </w:r>
      <w:r w:rsidR="00C83EBD">
        <w:t xml:space="preserve">resources. </w:t>
      </w:r>
      <w:r w:rsidR="008C2AD8">
        <w:t xml:space="preserve">When measures are demanded </w:t>
      </w:r>
      <w:r w:rsidR="002132BC">
        <w:t xml:space="preserve">by a Regulation access to </w:t>
      </w:r>
      <w:r w:rsidR="007D7212">
        <w:t xml:space="preserve">EU </w:t>
      </w:r>
      <w:r w:rsidR="002132BC">
        <w:t>Granting sy</w:t>
      </w:r>
      <w:r w:rsidR="007D7212">
        <w:t>s</w:t>
      </w:r>
      <w:r w:rsidR="002132BC">
        <w:t xml:space="preserve">tems </w:t>
      </w:r>
      <w:r w:rsidR="007D7212">
        <w:t>be possible though.</w:t>
      </w:r>
    </w:p>
    <w:p w14:paraId="3EA191C3" w14:textId="7A350DD3" w:rsidR="00EE2EE7" w:rsidRDefault="00EE2EE7" w:rsidP="00EE2EE7">
      <w:pPr>
        <w:spacing w:after="112" w:line="249" w:lineRule="auto"/>
        <w:rPr>
          <w:b/>
        </w:rPr>
      </w:pPr>
      <w:r w:rsidRPr="00BA5E7D">
        <w:rPr>
          <w:b/>
        </w:rPr>
        <w:t xml:space="preserve">Implementation plans and monitoring, evaluation and reporting </w:t>
      </w:r>
      <w:r w:rsidR="009F370C" w:rsidRPr="00BA5E7D">
        <w:rPr>
          <w:b/>
        </w:rPr>
        <w:t>arrangements.</w:t>
      </w:r>
      <w:r w:rsidRPr="00BA5E7D">
        <w:rPr>
          <w:b/>
        </w:rPr>
        <w:t xml:space="preserve"> </w:t>
      </w:r>
    </w:p>
    <w:p w14:paraId="1DDEE24B" w14:textId="75D97CF0" w:rsidR="00EE2EE7" w:rsidRDefault="00EE2EE7" w:rsidP="00EE2EE7">
      <w:pPr>
        <w:spacing w:after="112" w:line="249" w:lineRule="auto"/>
      </w:pPr>
      <w:r w:rsidRPr="00EA4670">
        <w:rPr>
          <w:bCs/>
        </w:rPr>
        <w:t>These</w:t>
      </w:r>
      <w:r w:rsidR="00EA4670">
        <w:rPr>
          <w:bCs/>
        </w:rPr>
        <w:t xml:space="preserve"> demands to the Member States</w:t>
      </w:r>
      <w:r w:rsidR="00A43FB0">
        <w:rPr>
          <w:bCs/>
        </w:rPr>
        <w:t xml:space="preserve"> will be required </w:t>
      </w:r>
      <w:r w:rsidR="0064351D">
        <w:rPr>
          <w:bCs/>
        </w:rPr>
        <w:t xml:space="preserve">to </w:t>
      </w:r>
      <w:r w:rsidR="009F370C" w:rsidRPr="00BA5E7D">
        <w:t>review the effectiveness</w:t>
      </w:r>
      <w:r w:rsidR="009F370C">
        <w:t xml:space="preserve"> </w:t>
      </w:r>
      <w:r w:rsidR="003520EE">
        <w:t xml:space="preserve">of the rules to fulfill the policies. This will be another </w:t>
      </w:r>
      <w:r w:rsidR="0039397A">
        <w:t>expe</w:t>
      </w:r>
      <w:r w:rsidR="00810274">
        <w:t>n</w:t>
      </w:r>
      <w:r w:rsidR="0039397A">
        <w:t>se.</w:t>
      </w:r>
    </w:p>
    <w:p w14:paraId="1B09E14C" w14:textId="77777777" w:rsidR="00810274" w:rsidRDefault="00810274" w:rsidP="00EE2EE7">
      <w:pPr>
        <w:spacing w:after="112" w:line="249" w:lineRule="auto"/>
      </w:pPr>
    </w:p>
    <w:p w14:paraId="49778B6C" w14:textId="77777777" w:rsidR="00810274" w:rsidRDefault="00810274" w:rsidP="00810274">
      <w:pPr>
        <w:spacing w:after="99"/>
        <w:rPr>
          <w:b/>
          <w:bCs/>
        </w:rPr>
      </w:pPr>
      <w:r w:rsidRPr="00810274">
        <w:rPr>
          <w:b/>
          <w:bCs/>
          <w:u w:color="000000"/>
        </w:rPr>
        <w:t>Basic material and categories</w:t>
      </w:r>
      <w:r w:rsidRPr="00810274">
        <w:rPr>
          <w:b/>
          <w:bCs/>
        </w:rPr>
        <w:t xml:space="preserve"> </w:t>
      </w:r>
    </w:p>
    <w:p w14:paraId="348F5E29" w14:textId="77777777" w:rsidR="00D973B4" w:rsidRDefault="00D973B4" w:rsidP="00D973B4">
      <w:r w:rsidRPr="00BA5E7D">
        <w:t xml:space="preserve">The following 6 types of basic material, from which FRM could be harvested, are kept as they appear in Directive 1999/105/EC: seed source, stand, seed orchard, parents of family(ies), clone and clonal mixture. </w:t>
      </w:r>
    </w:p>
    <w:p w14:paraId="6B87C334" w14:textId="77777777" w:rsidR="00EE0226" w:rsidRPr="00BA5E7D" w:rsidRDefault="00EE0226" w:rsidP="00EE0226">
      <w:r w:rsidRPr="00BA5E7D">
        <w:t xml:space="preserve">The competent authorities will assess the </w:t>
      </w:r>
      <w:r w:rsidRPr="00EE0226">
        <w:rPr>
          <w:u w:val="single"/>
        </w:rPr>
        <w:t>sustainability</w:t>
      </w:r>
      <w:r w:rsidRPr="00BA5E7D">
        <w:t xml:space="preserve"> characteristics of basic material during the procedure for approving that basic material. The characteristics concern the adaptation of the basic material to the local climatic and ecological conditions and the freedom of trees from pests and their symptoms. </w:t>
      </w:r>
    </w:p>
    <w:p w14:paraId="40D14195" w14:textId="1CD5EA36" w:rsidR="008A4A82" w:rsidRDefault="009C700E" w:rsidP="00D973B4">
      <w:pPr>
        <w:rPr>
          <w:b/>
          <w:bCs/>
          <w:u w:color="000000"/>
        </w:rPr>
      </w:pPr>
      <w:r w:rsidRPr="009C700E">
        <w:rPr>
          <w:b/>
          <w:bCs/>
          <w:u w:color="000000"/>
        </w:rPr>
        <w:t>Professional operators</w:t>
      </w:r>
      <w:r>
        <w:rPr>
          <w:b/>
          <w:bCs/>
          <w:u w:color="000000"/>
        </w:rPr>
        <w:t xml:space="preserve"> </w:t>
      </w:r>
    </w:p>
    <w:p w14:paraId="2F76E364" w14:textId="24E70C40" w:rsidR="009C700E" w:rsidRDefault="00F65BE0" w:rsidP="00D973B4">
      <w:r w:rsidRPr="00BA5E7D">
        <w:t xml:space="preserve">Professional operators </w:t>
      </w:r>
      <w:r w:rsidR="00F20D68">
        <w:t>(forest</w:t>
      </w:r>
      <w:r w:rsidR="00826ECC">
        <w:t xml:space="preserve"> nurseries and tree seed suppliers) </w:t>
      </w:r>
      <w:r w:rsidRPr="00BA5E7D">
        <w:t>may be authorized by the competent authority to print, under official supervision, the official label for certain species and categories of FRM</w:t>
      </w:r>
      <w:r w:rsidR="00C51B97">
        <w:t xml:space="preserve">. </w:t>
      </w:r>
      <w:r w:rsidR="0023050D">
        <w:t xml:space="preserve">Also were the Official </w:t>
      </w:r>
      <w:r w:rsidR="00F20D68">
        <w:t>L</w:t>
      </w:r>
      <w:r w:rsidR="0023050D">
        <w:t>abel and the Plant Passport is combined.</w:t>
      </w:r>
    </w:p>
    <w:p w14:paraId="7656BC52" w14:textId="5109AFC0" w:rsidR="00C51B97" w:rsidRDefault="00C51B97" w:rsidP="00C51B97">
      <w:r w:rsidRPr="00BA5E7D">
        <w:t xml:space="preserve">Before purchasing FRM, professional operators will make available to the potential buyers of their FRM all necessary information concerning its suitability for climatic and ecological conditions. </w:t>
      </w:r>
      <w:r w:rsidR="00DD199A">
        <w:t>This is new, and establish</w:t>
      </w:r>
      <w:r w:rsidR="00835AB1">
        <w:t>ing</w:t>
      </w:r>
      <w:r w:rsidR="00DD199A">
        <w:t xml:space="preserve"> valid information</w:t>
      </w:r>
      <w:r w:rsidR="00F45467">
        <w:t xml:space="preserve"> based on principles</w:t>
      </w:r>
      <w:r w:rsidR="007220A2">
        <w:t xml:space="preserve"> </w:t>
      </w:r>
      <w:r w:rsidR="007220A2">
        <w:t>will be needed</w:t>
      </w:r>
      <w:r w:rsidR="00F45467">
        <w:t>.</w:t>
      </w:r>
    </w:p>
    <w:p w14:paraId="1F21C155" w14:textId="77777777" w:rsidR="00D0431E" w:rsidRDefault="00D0431E" w:rsidP="00C51B97"/>
    <w:p w14:paraId="08CC811C" w14:textId="77777777" w:rsidR="00003BB8" w:rsidRDefault="00003BB8" w:rsidP="00003BB8">
      <w:pPr>
        <w:spacing w:after="99"/>
        <w:rPr>
          <w:b/>
          <w:bCs/>
        </w:rPr>
      </w:pPr>
      <w:r w:rsidRPr="00003BB8">
        <w:rPr>
          <w:b/>
          <w:bCs/>
          <w:u w:color="000000"/>
        </w:rPr>
        <w:t>Derogations and conservation purposes</w:t>
      </w:r>
      <w:r w:rsidRPr="00003BB8">
        <w:rPr>
          <w:b/>
          <w:bCs/>
        </w:rPr>
        <w:t xml:space="preserve"> </w:t>
      </w:r>
    </w:p>
    <w:p w14:paraId="518CAEB5" w14:textId="2B9107BA" w:rsidR="00CC5C4A" w:rsidRDefault="00CC5C4A" w:rsidP="00CC5C4A">
      <w:r w:rsidRPr="00BA5E7D">
        <w:lastRenderedPageBreak/>
        <w:t xml:space="preserve">During periods in which there are temporary difficulties in obtaining supplies of certain species of FRM, basic material satisfying less stringent requirements will be temporarily approved to produce FRM belonging to the species concerned. </w:t>
      </w:r>
    </w:p>
    <w:p w14:paraId="37EE4646" w14:textId="0B6BBDB5" w:rsidR="00B60835" w:rsidRDefault="003F59CB" w:rsidP="003F59CB">
      <w:r w:rsidRPr="00BA5E7D">
        <w:t xml:space="preserve">The requirements for basic material intended for </w:t>
      </w:r>
      <w:r w:rsidRPr="00F949D8">
        <w:rPr>
          <w:u w:val="single"/>
        </w:rPr>
        <w:t xml:space="preserve">the purpose of conservation and sustainable use </w:t>
      </w:r>
      <w:r w:rsidRPr="00BA5E7D">
        <w:t>of forest genetic resources will be different from those for basic material intended for producing FRM in the categories ‘sourceidentified’, ‘selected’, ‘qualified’ and ‘tested’.</w:t>
      </w:r>
      <w:r w:rsidR="0085174C">
        <w:t xml:space="preserve"> These requirements</w:t>
      </w:r>
      <w:r w:rsidR="009161EE">
        <w:t xml:space="preserve"> for this new material </w:t>
      </w:r>
      <w:r w:rsidR="00A0118E">
        <w:t>must</w:t>
      </w:r>
      <w:r w:rsidR="009161EE">
        <w:t xml:space="preserve"> be defined</w:t>
      </w:r>
      <w:r w:rsidR="00EE0011">
        <w:t>.</w:t>
      </w:r>
    </w:p>
    <w:p w14:paraId="57E18CD3" w14:textId="77777777" w:rsidR="00C7486F" w:rsidRDefault="00C7486F" w:rsidP="003F59CB"/>
    <w:p w14:paraId="0427EC7A" w14:textId="027F1008" w:rsidR="003F59CB" w:rsidRPr="00BA5E7D" w:rsidRDefault="00C7486F" w:rsidP="003F59CB">
      <w:r w:rsidRPr="001E679F">
        <w:rPr>
          <w:b/>
          <w:bCs/>
          <w:sz w:val="28"/>
          <w:szCs w:val="28"/>
        </w:rPr>
        <w:t xml:space="preserve">The second part is the </w:t>
      </w:r>
      <w:r w:rsidR="00112444" w:rsidRPr="001E679F">
        <w:rPr>
          <w:b/>
          <w:bCs/>
          <w:sz w:val="28"/>
          <w:szCs w:val="28"/>
        </w:rPr>
        <w:t>actual proposal</w:t>
      </w:r>
      <w:r w:rsidR="001E679F">
        <w:t>:</w:t>
      </w:r>
    </w:p>
    <w:p w14:paraId="1A1CBBC1" w14:textId="77777777" w:rsidR="00A0118E" w:rsidRPr="00BA5E7D" w:rsidRDefault="00A0118E" w:rsidP="00A0118E">
      <w:pPr>
        <w:spacing w:after="346" w:line="249" w:lineRule="auto"/>
        <w:ind w:left="31" w:right="35"/>
        <w:jc w:val="center"/>
      </w:pPr>
      <w:r w:rsidRPr="00BA5E7D">
        <w:rPr>
          <w:b/>
        </w:rPr>
        <w:t xml:space="preserve">REGULATION OF THE EUROPEAN PARLIAMENT AND OF THE COUNCIL </w:t>
      </w:r>
    </w:p>
    <w:p w14:paraId="5B5BA810" w14:textId="4D124AB9" w:rsidR="00A0118E" w:rsidRPr="00BA5E7D" w:rsidRDefault="00A0118E" w:rsidP="00A0118E">
      <w:pPr>
        <w:spacing w:after="11" w:line="249" w:lineRule="auto"/>
        <w:ind w:left="19"/>
      </w:pPr>
      <w:r w:rsidRPr="00BA5E7D">
        <w:rPr>
          <w:b/>
        </w:rPr>
        <w:t xml:space="preserve">on the production and marketing of forest reproductive material, amending </w:t>
      </w:r>
      <w:r w:rsidR="008F2112" w:rsidRPr="00BA5E7D">
        <w:rPr>
          <w:b/>
        </w:rPr>
        <w:t>Regulations</w:t>
      </w:r>
    </w:p>
    <w:p w14:paraId="664B5C8E" w14:textId="77777777" w:rsidR="00A0118E" w:rsidRDefault="00A0118E" w:rsidP="00A0118E">
      <w:pPr>
        <w:pStyle w:val="Overskrift1"/>
        <w:spacing w:after="345"/>
        <w:ind w:left="31" w:right="21"/>
        <w:rPr>
          <w:sz w:val="24"/>
          <w:lang w:val="en-US"/>
        </w:rPr>
      </w:pPr>
      <w:r w:rsidRPr="00BA5E7D">
        <w:rPr>
          <w:sz w:val="24"/>
          <w:lang w:val="en-US"/>
        </w:rPr>
        <w:t xml:space="preserve">(EU) 2016/2031 and 2017/625 of the European Parliament and of the Council and repealing Council Directive 1999/105/EC (Regulation on forest reproductive material) </w:t>
      </w:r>
    </w:p>
    <w:p w14:paraId="5D1BDF1E" w14:textId="4D2E8BD5" w:rsidR="0044627F" w:rsidRPr="0044627F" w:rsidRDefault="0044627F" w:rsidP="0044627F">
      <w:pPr>
        <w:rPr>
          <w:lang w:eastAsia="da-DK"/>
        </w:rPr>
      </w:pPr>
      <w:r>
        <w:t xml:space="preserve">The start </w:t>
      </w:r>
      <w:r w:rsidR="00B52982">
        <w:t>does</w:t>
      </w:r>
      <w:r>
        <w:t xml:space="preserve"> consist of background description in 63 items (p16-26)</w:t>
      </w:r>
    </w:p>
    <w:p w14:paraId="1110DB52" w14:textId="0424B0DA" w:rsidR="007A5B17" w:rsidRDefault="00470A5C" w:rsidP="007A5B17">
      <w:r>
        <w:t>On page 26</w:t>
      </w:r>
      <w:r w:rsidR="00904EEF">
        <w:t xml:space="preserve"> the </w:t>
      </w:r>
      <w:r w:rsidR="00B52982" w:rsidRPr="002008AC">
        <w:rPr>
          <w:u w:val="single"/>
        </w:rPr>
        <w:t xml:space="preserve">actual </w:t>
      </w:r>
      <w:r w:rsidR="00904EEF" w:rsidRPr="002008AC">
        <w:rPr>
          <w:u w:val="single"/>
        </w:rPr>
        <w:t>Adopted Regulation</w:t>
      </w:r>
      <w:r w:rsidR="00904EEF">
        <w:t xml:space="preserve"> is </w:t>
      </w:r>
      <w:r w:rsidR="00D95DA4">
        <w:t>described in 9 Chapters:</w:t>
      </w:r>
    </w:p>
    <w:p w14:paraId="7313270D" w14:textId="35445B9C" w:rsidR="00DD5CFF" w:rsidRPr="002412B4" w:rsidRDefault="00DD5CFF" w:rsidP="007A5B17">
      <w:r w:rsidRPr="002412B4">
        <w:t>CHAPTER I</w:t>
      </w:r>
      <w:r w:rsidR="002D44AD" w:rsidRPr="002412B4">
        <w:t>:</w:t>
      </w:r>
      <w:r w:rsidRPr="002412B4">
        <w:t xml:space="preserve"> GENERAL PROVISIONS </w:t>
      </w:r>
      <w:r w:rsidR="002D3F40" w:rsidRPr="002412B4">
        <w:t>with 3</w:t>
      </w:r>
      <w:r w:rsidR="002412B4" w:rsidRPr="002412B4">
        <w:t xml:space="preserve"> articles:</w:t>
      </w:r>
      <w:r w:rsidR="006714DE">
        <w:t xml:space="preserve"> 1 Subject matter, 2 Scope and 3 Definitions</w:t>
      </w:r>
    </w:p>
    <w:p w14:paraId="4979BE06" w14:textId="274C2D04" w:rsidR="00C51322" w:rsidRDefault="00C51322" w:rsidP="00A428AA">
      <w:pPr>
        <w:pStyle w:val="Overskrift1"/>
        <w:spacing w:after="262"/>
        <w:ind w:right="14"/>
        <w:jc w:val="left"/>
        <w:rPr>
          <w:rFonts w:asciiTheme="minorHAnsi" w:hAnsiTheme="minorHAnsi" w:cstheme="minorHAnsi"/>
          <w:b w:val="0"/>
          <w:bCs/>
          <w:sz w:val="20"/>
          <w:szCs w:val="20"/>
          <w:lang w:val="en-US"/>
        </w:rPr>
      </w:pPr>
      <w:r w:rsidRPr="00A428AA">
        <w:rPr>
          <w:rFonts w:asciiTheme="minorHAnsi" w:hAnsiTheme="minorHAnsi" w:cstheme="minorHAnsi"/>
          <w:b w:val="0"/>
          <w:bCs/>
          <w:sz w:val="20"/>
          <w:szCs w:val="20"/>
          <w:lang w:val="en-US"/>
        </w:rPr>
        <w:t>CHAPTER II</w:t>
      </w:r>
      <w:r w:rsidR="00A428AA">
        <w:rPr>
          <w:rFonts w:asciiTheme="minorHAnsi" w:hAnsiTheme="minorHAnsi" w:cstheme="minorHAnsi"/>
          <w:b w:val="0"/>
          <w:bCs/>
          <w:sz w:val="20"/>
          <w:szCs w:val="20"/>
          <w:lang w:val="en-US"/>
        </w:rPr>
        <w:t>:</w:t>
      </w:r>
      <w:r w:rsidRPr="00A428AA">
        <w:rPr>
          <w:rFonts w:asciiTheme="minorHAnsi" w:hAnsiTheme="minorHAnsi" w:cstheme="minorHAnsi"/>
          <w:b w:val="0"/>
          <w:bCs/>
          <w:sz w:val="20"/>
          <w:szCs w:val="20"/>
          <w:lang w:val="en-US"/>
        </w:rPr>
        <w:t xml:space="preserve"> BASIC MATERIAL AND FRM DERIVING FROM IT </w:t>
      </w:r>
      <w:r w:rsidR="00B30901">
        <w:rPr>
          <w:rFonts w:asciiTheme="minorHAnsi" w:hAnsiTheme="minorHAnsi" w:cstheme="minorHAnsi"/>
          <w:b w:val="0"/>
          <w:bCs/>
          <w:sz w:val="20"/>
          <w:szCs w:val="20"/>
          <w:lang w:val="en-US"/>
        </w:rPr>
        <w:t xml:space="preserve">with </w:t>
      </w:r>
      <w:r w:rsidR="00DE5C39">
        <w:rPr>
          <w:rFonts w:asciiTheme="minorHAnsi" w:hAnsiTheme="minorHAnsi" w:cstheme="minorHAnsi"/>
          <w:b w:val="0"/>
          <w:bCs/>
          <w:sz w:val="20"/>
          <w:szCs w:val="20"/>
          <w:lang w:val="en-US"/>
        </w:rPr>
        <w:t>6 articles</w:t>
      </w:r>
    </w:p>
    <w:p w14:paraId="11EBA209" w14:textId="300671B9" w:rsidR="004902A5" w:rsidRDefault="004902A5" w:rsidP="007C6F0B">
      <w:pPr>
        <w:spacing w:after="14" w:line="249" w:lineRule="auto"/>
        <w:ind w:right="14"/>
        <w:rPr>
          <w:rFonts w:cstheme="minorHAnsi"/>
          <w:bCs/>
          <w:sz w:val="20"/>
          <w:szCs w:val="20"/>
        </w:rPr>
      </w:pPr>
      <w:r w:rsidRPr="004902A5">
        <w:rPr>
          <w:rFonts w:cstheme="minorHAnsi"/>
          <w:bCs/>
          <w:sz w:val="20"/>
          <w:szCs w:val="20"/>
        </w:rPr>
        <w:t>CHAPTER III</w:t>
      </w:r>
      <w:r>
        <w:rPr>
          <w:rFonts w:cstheme="minorHAnsi"/>
          <w:bCs/>
          <w:sz w:val="20"/>
          <w:szCs w:val="20"/>
        </w:rPr>
        <w:t>:</w:t>
      </w:r>
      <w:r w:rsidRPr="004902A5">
        <w:rPr>
          <w:rFonts w:cstheme="minorHAnsi"/>
          <w:bCs/>
          <w:sz w:val="20"/>
          <w:szCs w:val="20"/>
        </w:rPr>
        <w:t xml:space="preserve"> REGISTRATION OF PROFESSIONAL OPERATORS AND BASIC MATERIAL, AND DEMARCATION OF REGIONS OF PROVENANCE </w:t>
      </w:r>
      <w:r w:rsidR="007C6F0B">
        <w:rPr>
          <w:rFonts w:cstheme="minorHAnsi"/>
          <w:bCs/>
          <w:sz w:val="20"/>
          <w:szCs w:val="20"/>
        </w:rPr>
        <w:t>with 4 articles</w:t>
      </w:r>
    </w:p>
    <w:p w14:paraId="2C03AC9B" w14:textId="77777777" w:rsidR="00482DC7" w:rsidRDefault="00482DC7" w:rsidP="007C6F0B">
      <w:pPr>
        <w:spacing w:after="14" w:line="249" w:lineRule="auto"/>
        <w:ind w:right="14"/>
        <w:rPr>
          <w:rFonts w:cstheme="minorHAnsi"/>
          <w:bCs/>
          <w:sz w:val="20"/>
          <w:szCs w:val="20"/>
        </w:rPr>
      </w:pPr>
    </w:p>
    <w:p w14:paraId="416EF846" w14:textId="77777777" w:rsidR="002B6EFF" w:rsidRDefault="00482DC7" w:rsidP="002B6EFF">
      <w:pPr>
        <w:pStyle w:val="Overskrift1"/>
        <w:ind w:right="11"/>
        <w:jc w:val="left"/>
        <w:rPr>
          <w:rFonts w:asciiTheme="minorHAnsi" w:hAnsiTheme="minorHAnsi" w:cstheme="minorHAnsi"/>
          <w:b w:val="0"/>
          <w:bCs/>
          <w:sz w:val="20"/>
          <w:szCs w:val="20"/>
          <w:lang w:val="en-US"/>
        </w:rPr>
      </w:pPr>
      <w:r w:rsidRPr="00482DC7">
        <w:rPr>
          <w:rFonts w:asciiTheme="minorHAnsi" w:hAnsiTheme="minorHAnsi" w:cstheme="minorHAnsi"/>
          <w:b w:val="0"/>
          <w:bCs/>
          <w:sz w:val="20"/>
          <w:szCs w:val="20"/>
          <w:lang w:val="en-US"/>
        </w:rPr>
        <w:t>CHAPTER IV</w:t>
      </w:r>
      <w:r w:rsidR="007B1FC6">
        <w:rPr>
          <w:rFonts w:asciiTheme="minorHAnsi" w:hAnsiTheme="minorHAnsi" w:cstheme="minorHAnsi"/>
          <w:b w:val="0"/>
          <w:bCs/>
          <w:sz w:val="20"/>
          <w:szCs w:val="20"/>
          <w:lang w:val="en-US"/>
        </w:rPr>
        <w:t>:</w:t>
      </w:r>
      <w:r w:rsidRPr="00482DC7">
        <w:rPr>
          <w:rFonts w:asciiTheme="minorHAnsi" w:hAnsiTheme="minorHAnsi" w:cstheme="minorHAnsi"/>
          <w:b w:val="0"/>
          <w:bCs/>
          <w:sz w:val="20"/>
          <w:szCs w:val="20"/>
          <w:lang w:val="en-US"/>
        </w:rPr>
        <w:t xml:space="preserve"> MASTER CERTIFICATE, LABELLING AND PACKAGING </w:t>
      </w:r>
      <w:r w:rsidR="00D2381E">
        <w:rPr>
          <w:rFonts w:asciiTheme="minorHAnsi" w:hAnsiTheme="minorHAnsi" w:cstheme="minorHAnsi"/>
          <w:b w:val="0"/>
          <w:bCs/>
          <w:sz w:val="20"/>
          <w:szCs w:val="20"/>
          <w:lang w:val="en-US"/>
        </w:rPr>
        <w:t xml:space="preserve">with </w:t>
      </w:r>
      <w:r w:rsidR="00FF6A3A">
        <w:rPr>
          <w:rFonts w:asciiTheme="minorHAnsi" w:hAnsiTheme="minorHAnsi" w:cstheme="minorHAnsi"/>
          <w:b w:val="0"/>
          <w:bCs/>
          <w:sz w:val="20"/>
          <w:szCs w:val="20"/>
          <w:lang w:val="en-US"/>
        </w:rPr>
        <w:t>4 articles</w:t>
      </w:r>
    </w:p>
    <w:p w14:paraId="3CC8F1DA" w14:textId="77777777" w:rsidR="002B6EFF" w:rsidRDefault="002B6EFF" w:rsidP="002B6EFF">
      <w:pPr>
        <w:pStyle w:val="Overskrift1"/>
        <w:ind w:right="11"/>
        <w:jc w:val="left"/>
        <w:rPr>
          <w:rFonts w:asciiTheme="minorHAnsi" w:hAnsiTheme="minorHAnsi" w:cstheme="minorHAnsi"/>
          <w:b w:val="0"/>
          <w:bCs/>
          <w:sz w:val="20"/>
          <w:szCs w:val="20"/>
          <w:lang w:val="en-US"/>
        </w:rPr>
      </w:pPr>
    </w:p>
    <w:p w14:paraId="0E996796" w14:textId="072B21C8" w:rsidR="00F50840" w:rsidRPr="002B6EFF" w:rsidRDefault="00F50840" w:rsidP="002B6EFF">
      <w:pPr>
        <w:pStyle w:val="Overskrift1"/>
        <w:ind w:right="11"/>
        <w:jc w:val="left"/>
        <w:rPr>
          <w:rFonts w:asciiTheme="minorHAnsi" w:hAnsiTheme="minorHAnsi" w:cstheme="minorHAnsi"/>
          <w:b w:val="0"/>
          <w:bCs/>
          <w:sz w:val="20"/>
          <w:szCs w:val="20"/>
          <w:lang w:val="en-US"/>
        </w:rPr>
      </w:pPr>
      <w:r w:rsidRPr="00F50840">
        <w:rPr>
          <w:rFonts w:asciiTheme="minorHAnsi" w:hAnsiTheme="minorHAnsi" w:cstheme="minorHAnsi"/>
          <w:b w:val="0"/>
          <w:bCs/>
          <w:sz w:val="20"/>
          <w:szCs w:val="20"/>
          <w:lang w:val="fr-FR"/>
        </w:rPr>
        <w:t>CHAPTER V</w:t>
      </w:r>
      <w:r w:rsidR="00C82D9C">
        <w:rPr>
          <w:rFonts w:asciiTheme="minorHAnsi" w:hAnsiTheme="minorHAnsi" w:cstheme="minorHAnsi"/>
          <w:b w:val="0"/>
          <w:bCs/>
          <w:sz w:val="20"/>
          <w:szCs w:val="20"/>
          <w:lang w:val="fr-FR"/>
        </w:rPr>
        <w:t> :</w:t>
      </w:r>
      <w:r w:rsidRPr="00F50840">
        <w:rPr>
          <w:rFonts w:asciiTheme="minorHAnsi" w:hAnsiTheme="minorHAnsi" w:cstheme="minorHAnsi"/>
          <w:b w:val="0"/>
          <w:bCs/>
          <w:sz w:val="20"/>
          <w:szCs w:val="20"/>
          <w:lang w:val="fr-FR"/>
        </w:rPr>
        <w:t xml:space="preserve"> DEROGATIONS FROM ARTICLE 4 </w:t>
      </w:r>
      <w:r w:rsidR="00C94568">
        <w:rPr>
          <w:rFonts w:asciiTheme="minorHAnsi" w:hAnsiTheme="minorHAnsi" w:cstheme="minorHAnsi"/>
          <w:b w:val="0"/>
          <w:bCs/>
          <w:sz w:val="20"/>
          <w:szCs w:val="20"/>
          <w:lang w:val="fr-FR"/>
        </w:rPr>
        <w:t xml:space="preserve">with </w:t>
      </w:r>
      <w:r w:rsidR="00CF56D0">
        <w:rPr>
          <w:rFonts w:asciiTheme="minorHAnsi" w:hAnsiTheme="minorHAnsi" w:cstheme="minorHAnsi"/>
          <w:b w:val="0"/>
          <w:bCs/>
          <w:sz w:val="20"/>
          <w:szCs w:val="20"/>
          <w:lang w:val="fr-FR"/>
        </w:rPr>
        <w:t>6</w:t>
      </w:r>
      <w:r w:rsidR="00C94568">
        <w:rPr>
          <w:rFonts w:asciiTheme="minorHAnsi" w:hAnsiTheme="minorHAnsi" w:cstheme="minorHAnsi"/>
          <w:b w:val="0"/>
          <w:bCs/>
          <w:sz w:val="20"/>
          <w:szCs w:val="20"/>
          <w:lang w:val="fr-FR"/>
        </w:rPr>
        <w:t xml:space="preserve"> </w:t>
      </w:r>
      <w:r w:rsidR="004E2D32">
        <w:rPr>
          <w:rFonts w:asciiTheme="minorHAnsi" w:hAnsiTheme="minorHAnsi" w:cstheme="minorHAnsi"/>
          <w:b w:val="0"/>
          <w:bCs/>
          <w:sz w:val="20"/>
          <w:szCs w:val="20"/>
          <w:lang w:val="fr-FR"/>
        </w:rPr>
        <w:t>articles</w:t>
      </w:r>
    </w:p>
    <w:p w14:paraId="19A56EF5" w14:textId="473C9F67" w:rsidR="00883527" w:rsidRDefault="00C82D9C" w:rsidP="00C82D9C">
      <w:pPr>
        <w:pStyle w:val="Overskrift1"/>
        <w:spacing w:after="267"/>
        <w:ind w:right="2721"/>
        <w:jc w:val="left"/>
        <w:rPr>
          <w:rFonts w:asciiTheme="minorHAnsi" w:hAnsiTheme="minorHAnsi" w:cstheme="minorHAnsi"/>
          <w:b w:val="0"/>
          <w:bCs/>
          <w:sz w:val="20"/>
          <w:szCs w:val="20"/>
          <w:lang w:val="en-US"/>
        </w:rPr>
      </w:pPr>
      <w:r w:rsidRPr="00C82D9C">
        <w:rPr>
          <w:rFonts w:asciiTheme="minorHAnsi" w:hAnsiTheme="minorHAnsi" w:cstheme="minorHAnsi"/>
          <w:b w:val="0"/>
          <w:bCs/>
          <w:sz w:val="20"/>
          <w:szCs w:val="20"/>
          <w:lang w:val="en-US"/>
        </w:rPr>
        <w:t>CHAPTER VI</w:t>
      </w:r>
      <w:r>
        <w:rPr>
          <w:rFonts w:asciiTheme="minorHAnsi" w:hAnsiTheme="minorHAnsi" w:cstheme="minorHAnsi"/>
          <w:b w:val="0"/>
          <w:bCs/>
          <w:sz w:val="20"/>
          <w:szCs w:val="20"/>
          <w:lang w:val="en-US"/>
        </w:rPr>
        <w:t>:</w:t>
      </w:r>
      <w:r w:rsidRPr="00C82D9C">
        <w:rPr>
          <w:rFonts w:asciiTheme="minorHAnsi" w:hAnsiTheme="minorHAnsi" w:cstheme="minorHAnsi"/>
          <w:b w:val="0"/>
          <w:bCs/>
          <w:sz w:val="20"/>
          <w:szCs w:val="20"/>
          <w:lang w:val="en-US"/>
        </w:rPr>
        <w:t xml:space="preserve"> IMPORTS OF FRM</w:t>
      </w:r>
      <w:r w:rsidR="00CF56D0">
        <w:rPr>
          <w:rFonts w:asciiTheme="minorHAnsi" w:hAnsiTheme="minorHAnsi" w:cstheme="minorHAnsi"/>
          <w:b w:val="0"/>
          <w:bCs/>
          <w:sz w:val="20"/>
          <w:szCs w:val="20"/>
          <w:lang w:val="en-US"/>
        </w:rPr>
        <w:t xml:space="preserve"> with 2 articles</w:t>
      </w:r>
    </w:p>
    <w:p w14:paraId="7A9E6712" w14:textId="4ED800BC" w:rsidR="00883527" w:rsidRDefault="00883527" w:rsidP="00883527">
      <w:pPr>
        <w:pStyle w:val="Overskrift1"/>
        <w:spacing w:after="263"/>
        <w:ind w:right="10"/>
        <w:jc w:val="left"/>
        <w:rPr>
          <w:rFonts w:asciiTheme="minorHAnsi" w:hAnsiTheme="minorHAnsi" w:cstheme="minorHAnsi"/>
          <w:b w:val="0"/>
          <w:bCs/>
          <w:sz w:val="20"/>
          <w:szCs w:val="20"/>
          <w:lang w:val="en-US"/>
        </w:rPr>
      </w:pPr>
      <w:r w:rsidRPr="00883527">
        <w:rPr>
          <w:rFonts w:asciiTheme="minorHAnsi" w:hAnsiTheme="minorHAnsi" w:cstheme="minorHAnsi"/>
          <w:b w:val="0"/>
          <w:bCs/>
          <w:sz w:val="20"/>
          <w:szCs w:val="20"/>
          <w:lang w:val="en-US"/>
        </w:rPr>
        <w:t>CHAPTER VII</w:t>
      </w:r>
      <w:r>
        <w:rPr>
          <w:rFonts w:asciiTheme="minorHAnsi" w:hAnsiTheme="minorHAnsi" w:cstheme="minorHAnsi"/>
          <w:b w:val="0"/>
          <w:bCs/>
          <w:sz w:val="20"/>
          <w:szCs w:val="20"/>
          <w:lang w:val="en-US"/>
        </w:rPr>
        <w:t>:</w:t>
      </w:r>
      <w:r w:rsidRPr="00883527">
        <w:rPr>
          <w:rFonts w:asciiTheme="minorHAnsi" w:hAnsiTheme="minorHAnsi" w:cstheme="minorHAnsi"/>
          <w:b w:val="0"/>
          <w:bCs/>
          <w:sz w:val="20"/>
          <w:szCs w:val="20"/>
          <w:lang w:val="en-US"/>
        </w:rPr>
        <w:t xml:space="preserve"> PROCEDURAL PROVISIONS </w:t>
      </w:r>
      <w:r w:rsidR="00CF56D0">
        <w:rPr>
          <w:rFonts w:asciiTheme="minorHAnsi" w:hAnsiTheme="minorHAnsi" w:cstheme="minorHAnsi"/>
          <w:b w:val="0"/>
          <w:bCs/>
          <w:sz w:val="20"/>
          <w:szCs w:val="20"/>
          <w:lang w:val="en-US"/>
        </w:rPr>
        <w:t>with 2 articles</w:t>
      </w:r>
    </w:p>
    <w:p w14:paraId="2848FC4C" w14:textId="7FF8718A" w:rsidR="00E666B4" w:rsidRDefault="00E666B4" w:rsidP="00E4691C">
      <w:pPr>
        <w:pStyle w:val="Overskrift1"/>
        <w:spacing w:after="262"/>
        <w:ind w:right="10"/>
        <w:jc w:val="left"/>
        <w:rPr>
          <w:rFonts w:asciiTheme="minorHAnsi" w:hAnsiTheme="minorHAnsi" w:cstheme="minorHAnsi"/>
          <w:b w:val="0"/>
          <w:bCs/>
          <w:sz w:val="20"/>
          <w:szCs w:val="20"/>
          <w:lang w:val="en-US"/>
        </w:rPr>
      </w:pPr>
      <w:r w:rsidRPr="00E4691C">
        <w:rPr>
          <w:rFonts w:asciiTheme="minorHAnsi" w:hAnsiTheme="minorHAnsi" w:cstheme="minorHAnsi"/>
          <w:b w:val="0"/>
          <w:bCs/>
          <w:sz w:val="20"/>
          <w:szCs w:val="20"/>
          <w:lang w:val="en-US"/>
        </w:rPr>
        <w:t>CHAPTER VIII</w:t>
      </w:r>
      <w:r w:rsidR="00E4691C">
        <w:rPr>
          <w:rFonts w:asciiTheme="minorHAnsi" w:hAnsiTheme="minorHAnsi" w:cstheme="minorHAnsi"/>
          <w:b w:val="0"/>
          <w:bCs/>
          <w:sz w:val="20"/>
          <w:szCs w:val="20"/>
          <w:lang w:val="en-US"/>
        </w:rPr>
        <w:t>:</w:t>
      </w:r>
      <w:r w:rsidRPr="00E4691C">
        <w:rPr>
          <w:rFonts w:asciiTheme="minorHAnsi" w:hAnsiTheme="minorHAnsi" w:cstheme="minorHAnsi"/>
          <w:b w:val="0"/>
          <w:bCs/>
          <w:sz w:val="20"/>
          <w:szCs w:val="20"/>
          <w:lang w:val="en-US"/>
        </w:rPr>
        <w:t xml:space="preserve"> Reporting, penalties and amendments of Regulations (EU) 2016/2031 and 2017/625 </w:t>
      </w:r>
      <w:r w:rsidR="00D12319">
        <w:rPr>
          <w:rFonts w:asciiTheme="minorHAnsi" w:hAnsiTheme="minorHAnsi" w:cstheme="minorHAnsi"/>
          <w:b w:val="0"/>
          <w:bCs/>
          <w:sz w:val="20"/>
          <w:szCs w:val="20"/>
          <w:lang w:val="en-US"/>
        </w:rPr>
        <w:t>with</w:t>
      </w:r>
      <w:r w:rsidR="0018381A">
        <w:rPr>
          <w:rFonts w:asciiTheme="minorHAnsi" w:hAnsiTheme="minorHAnsi" w:cstheme="minorHAnsi"/>
          <w:b w:val="0"/>
          <w:bCs/>
          <w:sz w:val="20"/>
          <w:szCs w:val="20"/>
          <w:lang w:val="en-US"/>
        </w:rPr>
        <w:t xml:space="preserve"> 4 articles</w:t>
      </w:r>
    </w:p>
    <w:p w14:paraId="394887A9" w14:textId="3B884DF9" w:rsidR="00CF45FF" w:rsidRDefault="00CF45FF" w:rsidP="00CF45FF">
      <w:pPr>
        <w:pStyle w:val="Overskrift1"/>
        <w:spacing w:after="267"/>
        <w:ind w:right="2969"/>
        <w:jc w:val="left"/>
        <w:rPr>
          <w:rFonts w:asciiTheme="minorHAnsi" w:hAnsiTheme="minorHAnsi" w:cstheme="minorHAnsi"/>
          <w:b w:val="0"/>
          <w:bCs/>
          <w:sz w:val="20"/>
          <w:szCs w:val="20"/>
          <w:lang w:val="fr-FR"/>
        </w:rPr>
      </w:pPr>
      <w:r w:rsidRPr="00CF45FF">
        <w:rPr>
          <w:rFonts w:asciiTheme="minorHAnsi" w:hAnsiTheme="minorHAnsi" w:cstheme="minorHAnsi"/>
          <w:b w:val="0"/>
          <w:bCs/>
          <w:sz w:val="20"/>
          <w:szCs w:val="20"/>
          <w:lang w:val="fr-FR"/>
        </w:rPr>
        <w:t>CHAPTER IX</w:t>
      </w:r>
      <w:r>
        <w:rPr>
          <w:rFonts w:asciiTheme="minorHAnsi" w:hAnsiTheme="minorHAnsi" w:cstheme="minorHAnsi"/>
          <w:b w:val="0"/>
          <w:bCs/>
          <w:sz w:val="20"/>
          <w:szCs w:val="20"/>
          <w:lang w:val="fr-FR"/>
        </w:rPr>
        <w:t> :</w:t>
      </w:r>
      <w:r w:rsidRPr="00CF45FF">
        <w:rPr>
          <w:rFonts w:asciiTheme="minorHAnsi" w:hAnsiTheme="minorHAnsi" w:cstheme="minorHAnsi"/>
          <w:b w:val="0"/>
          <w:bCs/>
          <w:sz w:val="20"/>
          <w:szCs w:val="20"/>
          <w:lang w:val="fr-FR"/>
        </w:rPr>
        <w:t xml:space="preserve"> FINAL PROVISIONS </w:t>
      </w:r>
      <w:r w:rsidR="0018381A">
        <w:rPr>
          <w:rFonts w:asciiTheme="minorHAnsi" w:hAnsiTheme="minorHAnsi" w:cstheme="minorHAnsi"/>
          <w:b w:val="0"/>
          <w:bCs/>
          <w:sz w:val="20"/>
          <w:szCs w:val="20"/>
          <w:lang w:val="fr-FR"/>
        </w:rPr>
        <w:t>with 2 articles</w:t>
      </w:r>
    </w:p>
    <w:p w14:paraId="22CBAB07" w14:textId="15AAF2DC" w:rsidR="002008AC" w:rsidRPr="006A6710" w:rsidRDefault="002008AC" w:rsidP="002008AC">
      <w:pPr>
        <w:rPr>
          <w:b/>
          <w:bCs/>
          <w:sz w:val="28"/>
          <w:szCs w:val="28"/>
          <w:lang w:val="fr-FR" w:eastAsia="da-DK"/>
        </w:rPr>
      </w:pPr>
      <w:r w:rsidRPr="006A6710">
        <w:rPr>
          <w:b/>
          <w:bCs/>
          <w:sz w:val="28"/>
          <w:szCs w:val="28"/>
          <w:lang w:val="fr-FR" w:eastAsia="da-DK"/>
        </w:rPr>
        <w:t>Finaly</w:t>
      </w:r>
      <w:r w:rsidR="00682232" w:rsidRPr="006A6710">
        <w:rPr>
          <w:b/>
          <w:bCs/>
          <w:sz w:val="28"/>
          <w:szCs w:val="28"/>
          <w:lang w:val="fr-FR" w:eastAsia="da-DK"/>
        </w:rPr>
        <w:t xml:space="preserve"> you have the additional Annexes</w:t>
      </w:r>
      <w:r w:rsidR="00A74D4D" w:rsidRPr="006A6710">
        <w:rPr>
          <w:b/>
          <w:bCs/>
          <w:sz w:val="28"/>
          <w:szCs w:val="28"/>
          <w:lang w:val="fr-FR" w:eastAsia="da-DK"/>
        </w:rPr>
        <w:t> :</w:t>
      </w:r>
    </w:p>
    <w:p w14:paraId="0875F2F1" w14:textId="77777777" w:rsidR="0091072A" w:rsidRPr="006A6710" w:rsidRDefault="0091072A" w:rsidP="0091072A">
      <w:pPr>
        <w:autoSpaceDE w:val="0"/>
        <w:autoSpaceDN w:val="0"/>
        <w:adjustRightInd w:val="0"/>
        <w:spacing w:after="0" w:line="240" w:lineRule="auto"/>
        <w:rPr>
          <w:rFonts w:cstheme="minorHAnsi"/>
          <w:kern w:val="0"/>
          <w:sz w:val="20"/>
          <w:szCs w:val="20"/>
        </w:rPr>
      </w:pPr>
      <w:r w:rsidRPr="006A6710">
        <w:rPr>
          <w:rFonts w:cstheme="minorHAnsi"/>
          <w:kern w:val="0"/>
          <w:sz w:val="20"/>
          <w:szCs w:val="20"/>
        </w:rPr>
        <w:t>ANNEX I</w:t>
      </w:r>
    </w:p>
    <w:p w14:paraId="11040102" w14:textId="2FF5BA6E" w:rsidR="00A74D4D" w:rsidRPr="006A6710" w:rsidRDefault="0091072A" w:rsidP="0091072A">
      <w:pPr>
        <w:rPr>
          <w:rFonts w:cstheme="minorHAnsi"/>
          <w:sz w:val="20"/>
          <w:szCs w:val="20"/>
          <w:lang w:eastAsia="da-DK"/>
        </w:rPr>
      </w:pPr>
      <w:r w:rsidRPr="006A6710">
        <w:rPr>
          <w:rFonts w:cstheme="minorHAnsi"/>
          <w:kern w:val="0"/>
          <w:sz w:val="20"/>
          <w:szCs w:val="20"/>
        </w:rPr>
        <w:t>LIST OF TREE SPECIES AND ARTIFICIAL HYBRIDS</w:t>
      </w:r>
    </w:p>
    <w:p w14:paraId="6C802E60" w14:textId="77777777" w:rsidR="00662AB0" w:rsidRPr="006A6710" w:rsidRDefault="00662AB0" w:rsidP="00662AB0">
      <w:pPr>
        <w:autoSpaceDE w:val="0"/>
        <w:autoSpaceDN w:val="0"/>
        <w:adjustRightInd w:val="0"/>
        <w:spacing w:after="0" w:line="240" w:lineRule="auto"/>
        <w:rPr>
          <w:rFonts w:cstheme="minorHAnsi"/>
          <w:kern w:val="0"/>
          <w:sz w:val="20"/>
          <w:szCs w:val="20"/>
        </w:rPr>
      </w:pPr>
      <w:r w:rsidRPr="006A6710">
        <w:rPr>
          <w:rFonts w:cstheme="minorHAnsi"/>
          <w:kern w:val="0"/>
          <w:sz w:val="20"/>
          <w:szCs w:val="20"/>
        </w:rPr>
        <w:t>ANNEX II</w:t>
      </w:r>
    </w:p>
    <w:p w14:paraId="0C801483" w14:textId="77777777" w:rsidR="00662AB0" w:rsidRPr="006A6710" w:rsidRDefault="00662AB0" w:rsidP="00662AB0">
      <w:pPr>
        <w:autoSpaceDE w:val="0"/>
        <w:autoSpaceDN w:val="0"/>
        <w:adjustRightInd w:val="0"/>
        <w:spacing w:after="0" w:line="240" w:lineRule="auto"/>
        <w:rPr>
          <w:rFonts w:cstheme="minorHAnsi"/>
          <w:kern w:val="0"/>
          <w:sz w:val="20"/>
          <w:szCs w:val="20"/>
        </w:rPr>
      </w:pPr>
      <w:r w:rsidRPr="006A6710">
        <w:rPr>
          <w:rFonts w:cstheme="minorHAnsi"/>
          <w:kern w:val="0"/>
          <w:sz w:val="20"/>
          <w:szCs w:val="20"/>
        </w:rPr>
        <w:t>REQUIREMENTS FOR THE APPROVAL OF BASIC MATERIAL INTENDED FOR</w:t>
      </w:r>
    </w:p>
    <w:p w14:paraId="5201C0A9" w14:textId="289F8DFA" w:rsidR="00E666B4" w:rsidRPr="006A6710" w:rsidRDefault="00662AB0" w:rsidP="00662AB0">
      <w:pPr>
        <w:rPr>
          <w:rFonts w:cstheme="minorHAnsi"/>
          <w:kern w:val="0"/>
          <w:sz w:val="20"/>
          <w:szCs w:val="20"/>
        </w:rPr>
      </w:pPr>
      <w:r w:rsidRPr="006A6710">
        <w:rPr>
          <w:rFonts w:cstheme="minorHAnsi"/>
          <w:kern w:val="0"/>
          <w:sz w:val="20"/>
          <w:szCs w:val="20"/>
        </w:rPr>
        <w:t>THE PRODUCTION OF FRM OF THE ‘SOURCE-IDENTIFIED’ CATEGORY</w:t>
      </w:r>
    </w:p>
    <w:p w14:paraId="584D0CB1" w14:textId="77777777" w:rsidR="004515CB" w:rsidRPr="006A6710" w:rsidRDefault="004515CB" w:rsidP="004515CB">
      <w:pPr>
        <w:autoSpaceDE w:val="0"/>
        <w:autoSpaceDN w:val="0"/>
        <w:adjustRightInd w:val="0"/>
        <w:spacing w:after="0" w:line="240" w:lineRule="auto"/>
        <w:rPr>
          <w:rFonts w:cstheme="minorHAnsi"/>
          <w:kern w:val="0"/>
          <w:sz w:val="20"/>
          <w:szCs w:val="20"/>
        </w:rPr>
      </w:pPr>
      <w:r w:rsidRPr="006A6710">
        <w:rPr>
          <w:rFonts w:cstheme="minorHAnsi"/>
          <w:kern w:val="0"/>
          <w:sz w:val="20"/>
          <w:szCs w:val="20"/>
        </w:rPr>
        <w:t>ANNEX III</w:t>
      </w:r>
    </w:p>
    <w:p w14:paraId="1EECC85B" w14:textId="77777777" w:rsidR="004515CB" w:rsidRPr="006A6710" w:rsidRDefault="004515CB" w:rsidP="004515CB">
      <w:pPr>
        <w:autoSpaceDE w:val="0"/>
        <w:autoSpaceDN w:val="0"/>
        <w:adjustRightInd w:val="0"/>
        <w:spacing w:after="0" w:line="240" w:lineRule="auto"/>
        <w:rPr>
          <w:rFonts w:cstheme="minorHAnsi"/>
          <w:kern w:val="0"/>
          <w:sz w:val="20"/>
          <w:szCs w:val="20"/>
        </w:rPr>
      </w:pPr>
      <w:r w:rsidRPr="006A6710">
        <w:rPr>
          <w:rFonts w:cstheme="minorHAnsi"/>
          <w:kern w:val="0"/>
          <w:sz w:val="20"/>
          <w:szCs w:val="20"/>
        </w:rPr>
        <w:t>REQUIREMENTS FOR THE APPROVAL OF BASIC MATERIAL INTENDED FOR</w:t>
      </w:r>
    </w:p>
    <w:p w14:paraId="2163FCCE" w14:textId="7CCF0DAB" w:rsidR="004515CB" w:rsidRPr="006A6710" w:rsidRDefault="004515CB" w:rsidP="004515CB">
      <w:pPr>
        <w:rPr>
          <w:rFonts w:cstheme="minorHAnsi"/>
          <w:kern w:val="0"/>
          <w:sz w:val="20"/>
          <w:szCs w:val="20"/>
        </w:rPr>
      </w:pPr>
      <w:r w:rsidRPr="006A6710">
        <w:rPr>
          <w:rFonts w:cstheme="minorHAnsi"/>
          <w:kern w:val="0"/>
          <w:sz w:val="20"/>
          <w:szCs w:val="20"/>
        </w:rPr>
        <w:lastRenderedPageBreak/>
        <w:t>THE PRODUCTION OF FRM OF THE ‘SELECTED’ CATEGORY</w:t>
      </w:r>
    </w:p>
    <w:p w14:paraId="64BD83B6" w14:textId="77777777" w:rsidR="00483FFF" w:rsidRPr="006A6710" w:rsidRDefault="00483FFF" w:rsidP="00483FFF">
      <w:pPr>
        <w:autoSpaceDE w:val="0"/>
        <w:autoSpaceDN w:val="0"/>
        <w:adjustRightInd w:val="0"/>
        <w:spacing w:after="0" w:line="240" w:lineRule="auto"/>
        <w:rPr>
          <w:rFonts w:cstheme="minorHAnsi"/>
          <w:kern w:val="0"/>
          <w:sz w:val="20"/>
          <w:szCs w:val="20"/>
        </w:rPr>
      </w:pPr>
      <w:r w:rsidRPr="006A6710">
        <w:rPr>
          <w:rFonts w:cstheme="minorHAnsi"/>
          <w:kern w:val="0"/>
          <w:sz w:val="20"/>
          <w:szCs w:val="20"/>
        </w:rPr>
        <w:t>ANNEX IV</w:t>
      </w:r>
    </w:p>
    <w:p w14:paraId="5572C1AC" w14:textId="77777777" w:rsidR="00483FFF" w:rsidRPr="006A6710" w:rsidRDefault="00483FFF" w:rsidP="00483FFF">
      <w:pPr>
        <w:autoSpaceDE w:val="0"/>
        <w:autoSpaceDN w:val="0"/>
        <w:adjustRightInd w:val="0"/>
        <w:spacing w:after="0" w:line="240" w:lineRule="auto"/>
        <w:rPr>
          <w:rFonts w:cstheme="minorHAnsi"/>
          <w:kern w:val="0"/>
          <w:sz w:val="20"/>
          <w:szCs w:val="20"/>
        </w:rPr>
      </w:pPr>
      <w:r w:rsidRPr="006A6710">
        <w:rPr>
          <w:rFonts w:cstheme="minorHAnsi"/>
          <w:kern w:val="0"/>
          <w:sz w:val="20"/>
          <w:szCs w:val="20"/>
        </w:rPr>
        <w:t>REQUIREMENTS FOR THE APPROVAL OF BASIC MATERIAL INTENDED FOR</w:t>
      </w:r>
    </w:p>
    <w:p w14:paraId="2E7CB42F" w14:textId="77777777" w:rsidR="00483FFF" w:rsidRPr="006A6710" w:rsidRDefault="00483FFF" w:rsidP="00483FFF">
      <w:pPr>
        <w:autoSpaceDE w:val="0"/>
        <w:autoSpaceDN w:val="0"/>
        <w:adjustRightInd w:val="0"/>
        <w:spacing w:after="0" w:line="240" w:lineRule="auto"/>
        <w:rPr>
          <w:rFonts w:cstheme="minorHAnsi"/>
          <w:kern w:val="0"/>
          <w:sz w:val="20"/>
          <w:szCs w:val="20"/>
        </w:rPr>
      </w:pPr>
      <w:r w:rsidRPr="006A6710">
        <w:rPr>
          <w:rFonts w:cstheme="minorHAnsi"/>
          <w:kern w:val="0"/>
          <w:sz w:val="20"/>
          <w:szCs w:val="20"/>
        </w:rPr>
        <w:t>THE PRODUCTION OF FRM OF THE ‘QUALIFIED’ CATEGORY</w:t>
      </w:r>
    </w:p>
    <w:p w14:paraId="0F75FA2D" w14:textId="288FE866" w:rsidR="004515CB" w:rsidRPr="006A6710" w:rsidRDefault="004515CB" w:rsidP="00483FFF">
      <w:pPr>
        <w:rPr>
          <w:rFonts w:cstheme="minorHAnsi"/>
          <w:kern w:val="0"/>
          <w:sz w:val="20"/>
          <w:szCs w:val="20"/>
          <w:lang w:val="da-DK"/>
        </w:rPr>
      </w:pPr>
    </w:p>
    <w:p w14:paraId="660EF407" w14:textId="77777777" w:rsidR="002512A0" w:rsidRPr="006A6710" w:rsidRDefault="002512A0" w:rsidP="002512A0">
      <w:pPr>
        <w:autoSpaceDE w:val="0"/>
        <w:autoSpaceDN w:val="0"/>
        <w:adjustRightInd w:val="0"/>
        <w:spacing w:after="0" w:line="240" w:lineRule="auto"/>
        <w:rPr>
          <w:rFonts w:cstheme="minorHAnsi"/>
          <w:kern w:val="0"/>
          <w:sz w:val="20"/>
          <w:szCs w:val="20"/>
        </w:rPr>
      </w:pPr>
      <w:r w:rsidRPr="006A6710">
        <w:rPr>
          <w:rFonts w:cstheme="minorHAnsi"/>
          <w:kern w:val="0"/>
          <w:sz w:val="20"/>
          <w:szCs w:val="20"/>
        </w:rPr>
        <w:t>ANNEX V</w:t>
      </w:r>
    </w:p>
    <w:p w14:paraId="66B4AEF2" w14:textId="77777777" w:rsidR="002512A0" w:rsidRPr="006A6710" w:rsidRDefault="002512A0" w:rsidP="002512A0">
      <w:pPr>
        <w:autoSpaceDE w:val="0"/>
        <w:autoSpaceDN w:val="0"/>
        <w:adjustRightInd w:val="0"/>
        <w:spacing w:after="0" w:line="240" w:lineRule="auto"/>
        <w:rPr>
          <w:rFonts w:cstheme="minorHAnsi"/>
          <w:kern w:val="0"/>
          <w:sz w:val="20"/>
          <w:szCs w:val="20"/>
        </w:rPr>
      </w:pPr>
      <w:r w:rsidRPr="006A6710">
        <w:rPr>
          <w:rFonts w:cstheme="minorHAnsi"/>
          <w:kern w:val="0"/>
          <w:sz w:val="20"/>
          <w:szCs w:val="20"/>
        </w:rPr>
        <w:t>REQUIREMENTS FOR THE APPROVAL OF BASIC MATERIAL INTENDED FOR</w:t>
      </w:r>
    </w:p>
    <w:p w14:paraId="507687D6" w14:textId="3CA8642A" w:rsidR="002512A0" w:rsidRPr="006A6710" w:rsidRDefault="002512A0" w:rsidP="002512A0">
      <w:pPr>
        <w:rPr>
          <w:rFonts w:cstheme="minorHAnsi"/>
          <w:kern w:val="0"/>
          <w:sz w:val="20"/>
          <w:szCs w:val="20"/>
        </w:rPr>
      </w:pPr>
      <w:r w:rsidRPr="006A6710">
        <w:rPr>
          <w:rFonts w:cstheme="minorHAnsi"/>
          <w:kern w:val="0"/>
          <w:sz w:val="20"/>
          <w:szCs w:val="20"/>
        </w:rPr>
        <w:t>THE PRODUCTION OF FRM OF THE ‘TESTED’ CATEGORY</w:t>
      </w:r>
    </w:p>
    <w:p w14:paraId="106EDCDA" w14:textId="77777777" w:rsidR="00772248" w:rsidRPr="006A6710" w:rsidRDefault="00772248" w:rsidP="00772248">
      <w:pPr>
        <w:autoSpaceDE w:val="0"/>
        <w:autoSpaceDN w:val="0"/>
        <w:adjustRightInd w:val="0"/>
        <w:spacing w:after="0" w:line="240" w:lineRule="auto"/>
        <w:rPr>
          <w:rFonts w:cstheme="minorHAnsi"/>
          <w:kern w:val="0"/>
          <w:sz w:val="20"/>
          <w:szCs w:val="20"/>
        </w:rPr>
      </w:pPr>
      <w:r w:rsidRPr="006A6710">
        <w:rPr>
          <w:rFonts w:cstheme="minorHAnsi"/>
          <w:kern w:val="0"/>
          <w:sz w:val="20"/>
          <w:szCs w:val="20"/>
        </w:rPr>
        <w:t>ANNEX VI</w:t>
      </w:r>
    </w:p>
    <w:p w14:paraId="081B4B6D" w14:textId="77777777" w:rsidR="00772248" w:rsidRPr="006A6710" w:rsidRDefault="00772248" w:rsidP="00772248">
      <w:pPr>
        <w:autoSpaceDE w:val="0"/>
        <w:autoSpaceDN w:val="0"/>
        <w:adjustRightInd w:val="0"/>
        <w:spacing w:after="0" w:line="240" w:lineRule="auto"/>
        <w:rPr>
          <w:rFonts w:cstheme="minorHAnsi"/>
          <w:kern w:val="0"/>
          <w:sz w:val="20"/>
          <w:szCs w:val="20"/>
        </w:rPr>
      </w:pPr>
      <w:r w:rsidRPr="006A6710">
        <w:rPr>
          <w:rFonts w:cstheme="minorHAnsi"/>
          <w:kern w:val="0"/>
          <w:sz w:val="20"/>
          <w:szCs w:val="20"/>
        </w:rPr>
        <w:t>CATEGORIES UNDER WHICH FRM FROM THE DIFFERENT</w:t>
      </w:r>
    </w:p>
    <w:p w14:paraId="65E37D09" w14:textId="1A2938DE" w:rsidR="00772248" w:rsidRPr="006A6710" w:rsidRDefault="00772248" w:rsidP="00772248">
      <w:pPr>
        <w:rPr>
          <w:rFonts w:cstheme="minorHAnsi"/>
          <w:kern w:val="0"/>
          <w:sz w:val="20"/>
          <w:szCs w:val="20"/>
        </w:rPr>
      </w:pPr>
      <w:r w:rsidRPr="006A6710">
        <w:rPr>
          <w:rFonts w:cstheme="minorHAnsi"/>
          <w:kern w:val="0"/>
          <w:sz w:val="20"/>
          <w:szCs w:val="20"/>
        </w:rPr>
        <w:t>TYPES OF BASIC MATERIAL MAY BE MARKETED</w:t>
      </w:r>
    </w:p>
    <w:p w14:paraId="61F4F281" w14:textId="77777777" w:rsidR="00DE2E72" w:rsidRPr="006A6710" w:rsidRDefault="00DE2E72" w:rsidP="00DE2E72">
      <w:pPr>
        <w:autoSpaceDE w:val="0"/>
        <w:autoSpaceDN w:val="0"/>
        <w:adjustRightInd w:val="0"/>
        <w:spacing w:after="0" w:line="240" w:lineRule="auto"/>
        <w:rPr>
          <w:rFonts w:cstheme="minorHAnsi"/>
          <w:kern w:val="0"/>
          <w:sz w:val="20"/>
          <w:szCs w:val="20"/>
        </w:rPr>
      </w:pPr>
      <w:r w:rsidRPr="006A6710">
        <w:rPr>
          <w:rFonts w:cstheme="minorHAnsi"/>
          <w:kern w:val="0"/>
          <w:sz w:val="20"/>
          <w:szCs w:val="20"/>
        </w:rPr>
        <w:t>ANNEX VII</w:t>
      </w:r>
    </w:p>
    <w:p w14:paraId="674761EC" w14:textId="0D081C27" w:rsidR="00DE2E72" w:rsidRPr="006A6710" w:rsidRDefault="00DE2E72" w:rsidP="00DE2E72">
      <w:pPr>
        <w:rPr>
          <w:rFonts w:cstheme="minorHAnsi"/>
          <w:kern w:val="0"/>
          <w:sz w:val="20"/>
          <w:szCs w:val="20"/>
        </w:rPr>
      </w:pPr>
      <w:r w:rsidRPr="006A6710">
        <w:rPr>
          <w:rFonts w:cstheme="minorHAnsi"/>
          <w:kern w:val="0"/>
          <w:sz w:val="20"/>
          <w:szCs w:val="20"/>
        </w:rPr>
        <w:t>Amendment of Annex VII to Regulation (EU) 2016/2031</w:t>
      </w:r>
    </w:p>
    <w:p w14:paraId="3EFB220B" w14:textId="77777777" w:rsidR="00F62D8C" w:rsidRPr="006A6710" w:rsidRDefault="00F62D8C" w:rsidP="00F62D8C">
      <w:pPr>
        <w:autoSpaceDE w:val="0"/>
        <w:autoSpaceDN w:val="0"/>
        <w:adjustRightInd w:val="0"/>
        <w:spacing w:after="0" w:line="240" w:lineRule="auto"/>
        <w:rPr>
          <w:rFonts w:cstheme="minorHAnsi"/>
          <w:kern w:val="0"/>
          <w:sz w:val="20"/>
          <w:szCs w:val="20"/>
          <w:lang w:val="da-DK"/>
        </w:rPr>
      </w:pPr>
      <w:r w:rsidRPr="006A6710">
        <w:rPr>
          <w:rFonts w:cstheme="minorHAnsi"/>
          <w:kern w:val="0"/>
          <w:sz w:val="20"/>
          <w:szCs w:val="20"/>
          <w:lang w:val="da-DK"/>
        </w:rPr>
        <w:t>ANNEX VIII</w:t>
      </w:r>
    </w:p>
    <w:p w14:paraId="7098C257" w14:textId="4355E094" w:rsidR="00F62D8C" w:rsidRPr="006A6710" w:rsidRDefault="00F62D8C" w:rsidP="00F62D8C">
      <w:pPr>
        <w:rPr>
          <w:rFonts w:cstheme="minorHAnsi"/>
          <w:sz w:val="20"/>
          <w:szCs w:val="20"/>
          <w:lang w:eastAsia="da-DK"/>
        </w:rPr>
      </w:pPr>
      <w:r w:rsidRPr="006A6710">
        <w:rPr>
          <w:rFonts w:cstheme="minorHAnsi"/>
          <w:kern w:val="0"/>
          <w:sz w:val="20"/>
          <w:szCs w:val="20"/>
          <w:lang w:val="da-DK"/>
        </w:rPr>
        <w:t>Correlation table</w:t>
      </w:r>
    </w:p>
    <w:p w14:paraId="281131B6" w14:textId="658425A7" w:rsidR="00C82D9C" w:rsidRPr="00C82D9C" w:rsidRDefault="00C82D9C" w:rsidP="00C82D9C">
      <w:pPr>
        <w:pStyle w:val="Overskrift1"/>
        <w:spacing w:after="267"/>
        <w:ind w:right="2721"/>
        <w:jc w:val="left"/>
        <w:rPr>
          <w:rFonts w:asciiTheme="minorHAnsi" w:hAnsiTheme="minorHAnsi" w:cstheme="minorHAnsi"/>
          <w:b w:val="0"/>
          <w:bCs/>
          <w:sz w:val="20"/>
          <w:szCs w:val="20"/>
          <w:lang w:val="en-US"/>
        </w:rPr>
      </w:pPr>
      <w:r w:rsidRPr="00C82D9C">
        <w:rPr>
          <w:rFonts w:asciiTheme="minorHAnsi" w:hAnsiTheme="minorHAnsi" w:cstheme="minorHAnsi"/>
          <w:b w:val="0"/>
          <w:bCs/>
          <w:sz w:val="20"/>
          <w:szCs w:val="20"/>
          <w:lang w:val="en-US"/>
        </w:rPr>
        <w:t xml:space="preserve"> </w:t>
      </w:r>
    </w:p>
    <w:p w14:paraId="3A92AD5A" w14:textId="77777777" w:rsidR="00C82D9C" w:rsidRPr="00C82D9C" w:rsidRDefault="00C82D9C" w:rsidP="00C82D9C">
      <w:pPr>
        <w:rPr>
          <w:lang w:val="fr-FR" w:eastAsia="da-DK"/>
        </w:rPr>
      </w:pPr>
    </w:p>
    <w:p w14:paraId="42BAAD5C" w14:textId="77777777" w:rsidR="00F50840" w:rsidRPr="00F50840" w:rsidRDefault="00F50840" w:rsidP="00F50840">
      <w:pPr>
        <w:rPr>
          <w:lang w:val="fr-FR" w:eastAsia="da-DK"/>
        </w:rPr>
      </w:pPr>
    </w:p>
    <w:p w14:paraId="7CD1D9A3" w14:textId="77777777" w:rsidR="00FF6A3A" w:rsidRDefault="00FF6A3A" w:rsidP="00FF6A3A">
      <w:pPr>
        <w:rPr>
          <w:lang w:eastAsia="da-DK"/>
        </w:rPr>
      </w:pPr>
    </w:p>
    <w:p w14:paraId="582713DC" w14:textId="77777777" w:rsidR="00FF6A3A" w:rsidRPr="00FF6A3A" w:rsidRDefault="00FF6A3A" w:rsidP="00FF6A3A">
      <w:pPr>
        <w:rPr>
          <w:lang w:eastAsia="da-DK"/>
        </w:rPr>
      </w:pPr>
    </w:p>
    <w:p w14:paraId="694EE722" w14:textId="77777777" w:rsidR="00482DC7" w:rsidRPr="00482DC7" w:rsidRDefault="00482DC7" w:rsidP="007C6F0B">
      <w:pPr>
        <w:spacing w:after="14" w:line="249" w:lineRule="auto"/>
        <w:ind w:right="14"/>
        <w:rPr>
          <w:rFonts w:cstheme="minorHAnsi"/>
          <w:bCs/>
          <w:sz w:val="20"/>
          <w:szCs w:val="20"/>
        </w:rPr>
      </w:pPr>
    </w:p>
    <w:p w14:paraId="3A8CBE3B" w14:textId="77777777" w:rsidR="004902A5" w:rsidRPr="004902A5" w:rsidRDefault="004902A5" w:rsidP="004902A5">
      <w:pPr>
        <w:rPr>
          <w:lang w:eastAsia="da-DK"/>
        </w:rPr>
      </w:pPr>
    </w:p>
    <w:p w14:paraId="5895B25A" w14:textId="77777777" w:rsidR="00D95DA4" w:rsidRPr="00BA5E7D" w:rsidRDefault="00D95DA4" w:rsidP="00CC5C4A"/>
    <w:p w14:paraId="3527C0EC" w14:textId="77777777" w:rsidR="00003BB8" w:rsidRPr="00003BB8" w:rsidRDefault="00003BB8" w:rsidP="00003BB8">
      <w:pPr>
        <w:spacing w:after="99"/>
      </w:pPr>
    </w:p>
    <w:p w14:paraId="19934417" w14:textId="77777777" w:rsidR="00D0431E" w:rsidRPr="00BA5E7D" w:rsidRDefault="00D0431E" w:rsidP="00C51B97"/>
    <w:p w14:paraId="191FDC65" w14:textId="77777777" w:rsidR="00C51B97" w:rsidRPr="009C700E" w:rsidRDefault="00C51B97" w:rsidP="00D973B4"/>
    <w:p w14:paraId="547D7816" w14:textId="77777777" w:rsidR="008C4436" w:rsidRPr="008C4436" w:rsidRDefault="008C4436" w:rsidP="00810274">
      <w:pPr>
        <w:spacing w:after="99"/>
      </w:pPr>
    </w:p>
    <w:p w14:paraId="6E40DD52" w14:textId="77777777" w:rsidR="00810274" w:rsidRPr="00EA4670" w:rsidRDefault="00810274" w:rsidP="00EE2EE7">
      <w:pPr>
        <w:spacing w:after="112" w:line="249" w:lineRule="auto"/>
        <w:rPr>
          <w:bCs/>
        </w:rPr>
      </w:pPr>
    </w:p>
    <w:p w14:paraId="0CB035A2" w14:textId="77777777" w:rsidR="002E1599" w:rsidRDefault="002E1599" w:rsidP="0047171C">
      <w:pPr>
        <w:spacing w:after="351"/>
      </w:pPr>
    </w:p>
    <w:p w14:paraId="62D92669" w14:textId="77777777" w:rsidR="001E4EAD" w:rsidRPr="00BA5E7D" w:rsidRDefault="001E4EAD" w:rsidP="0047171C">
      <w:pPr>
        <w:spacing w:after="351"/>
      </w:pPr>
    </w:p>
    <w:p w14:paraId="7BA38FEE" w14:textId="77777777" w:rsidR="00B23FB8" w:rsidRPr="00BA5E7D" w:rsidRDefault="00B23FB8" w:rsidP="00DC32A2">
      <w:pPr>
        <w:spacing w:after="110" w:line="250" w:lineRule="auto"/>
        <w:jc w:val="both"/>
      </w:pPr>
    </w:p>
    <w:p w14:paraId="51189CDA" w14:textId="77777777" w:rsidR="00DC32A2" w:rsidRPr="007B259A" w:rsidRDefault="00DC32A2" w:rsidP="001F2F3A">
      <w:pPr>
        <w:tabs>
          <w:tab w:val="center" w:pos="1397"/>
          <w:tab w:val="center" w:pos="2632"/>
          <w:tab w:val="center" w:pos="3839"/>
          <w:tab w:val="center" w:pos="5790"/>
          <w:tab w:val="right" w:pos="9080"/>
        </w:tabs>
        <w:spacing w:after="11" w:line="249" w:lineRule="auto"/>
        <w:rPr>
          <w:bCs/>
          <w:iCs/>
        </w:rPr>
      </w:pPr>
    </w:p>
    <w:p w14:paraId="69DF203D" w14:textId="77777777" w:rsidR="0051152E" w:rsidRPr="00B876D3" w:rsidRDefault="0051152E" w:rsidP="001F2F3A">
      <w:pPr>
        <w:tabs>
          <w:tab w:val="center" w:pos="1397"/>
          <w:tab w:val="center" w:pos="2632"/>
          <w:tab w:val="center" w:pos="3839"/>
          <w:tab w:val="center" w:pos="5790"/>
          <w:tab w:val="right" w:pos="9080"/>
        </w:tabs>
        <w:spacing w:after="11" w:line="249" w:lineRule="auto"/>
        <w:rPr>
          <w:bCs/>
        </w:rPr>
      </w:pPr>
    </w:p>
    <w:p w14:paraId="50D8201C" w14:textId="77777777" w:rsidR="00205CEE" w:rsidRPr="00691CE7" w:rsidRDefault="00205CEE" w:rsidP="00857FC8">
      <w:pPr>
        <w:spacing w:after="112" w:line="249" w:lineRule="auto"/>
        <w:rPr>
          <w:bCs/>
        </w:rPr>
      </w:pPr>
    </w:p>
    <w:p w14:paraId="170791F5" w14:textId="77777777" w:rsidR="00E735FC" w:rsidRPr="00BA5E7D" w:rsidRDefault="00E735FC" w:rsidP="008A75FB"/>
    <w:p w14:paraId="41426655" w14:textId="77777777" w:rsidR="00195702" w:rsidRPr="008A75FB" w:rsidRDefault="00195702" w:rsidP="009A33F4">
      <w:pPr>
        <w:spacing w:after="112" w:line="249" w:lineRule="auto"/>
        <w:ind w:left="9"/>
        <w:rPr>
          <w:b/>
        </w:rPr>
      </w:pPr>
    </w:p>
    <w:p w14:paraId="5F6F8D13" w14:textId="77777777" w:rsidR="00195702" w:rsidRPr="00BA5E7D" w:rsidRDefault="00195702" w:rsidP="009A33F4">
      <w:pPr>
        <w:spacing w:after="112" w:line="249" w:lineRule="auto"/>
        <w:ind w:left="9"/>
      </w:pPr>
    </w:p>
    <w:p w14:paraId="3A766E03" w14:textId="049D07E5" w:rsidR="008155EE" w:rsidRPr="008155EE" w:rsidRDefault="008155EE" w:rsidP="00BB63AE">
      <w:pPr>
        <w:spacing w:after="112" w:line="249" w:lineRule="auto"/>
        <w:ind w:left="9"/>
        <w:rPr>
          <w:b/>
        </w:rPr>
      </w:pPr>
    </w:p>
    <w:p w14:paraId="2265221F" w14:textId="15C1EB9F" w:rsidR="0048027A" w:rsidRPr="008155EE" w:rsidRDefault="0048027A" w:rsidP="00BB63AE">
      <w:pPr>
        <w:spacing w:after="112" w:line="249" w:lineRule="auto"/>
        <w:ind w:left="9"/>
      </w:pPr>
      <w:r w:rsidRPr="008155EE">
        <w:rPr>
          <w:b/>
        </w:rPr>
        <w:t xml:space="preserve"> </w:t>
      </w:r>
    </w:p>
    <w:p w14:paraId="2B007971" w14:textId="77777777" w:rsidR="00150BD8" w:rsidRDefault="00150BD8" w:rsidP="00EB1945">
      <w:pPr>
        <w:spacing w:after="110" w:line="250" w:lineRule="auto"/>
        <w:jc w:val="both"/>
      </w:pPr>
    </w:p>
    <w:p w14:paraId="25C8C732" w14:textId="77777777" w:rsidR="00010787" w:rsidRDefault="00010787" w:rsidP="00EB1945">
      <w:pPr>
        <w:spacing w:after="110" w:line="250" w:lineRule="auto"/>
        <w:jc w:val="both"/>
      </w:pPr>
    </w:p>
    <w:p w14:paraId="5252CE97" w14:textId="77777777" w:rsidR="00010787" w:rsidRPr="00BA5E7D" w:rsidRDefault="00010787" w:rsidP="00EB1945">
      <w:pPr>
        <w:spacing w:after="110" w:line="250" w:lineRule="auto"/>
        <w:jc w:val="both"/>
      </w:pPr>
    </w:p>
    <w:p w14:paraId="3FCFEB8C" w14:textId="450D6F29" w:rsidR="00F66DE3" w:rsidRDefault="00F66DE3" w:rsidP="000D242D">
      <w:pPr>
        <w:ind w:left="845"/>
      </w:pPr>
    </w:p>
    <w:p w14:paraId="285BFF09" w14:textId="77777777" w:rsidR="00F66DE3" w:rsidRDefault="00F66DE3" w:rsidP="000D242D">
      <w:pPr>
        <w:ind w:left="845"/>
      </w:pPr>
    </w:p>
    <w:p w14:paraId="7B8BC58F" w14:textId="77777777" w:rsidR="00F66DE3" w:rsidRDefault="00F66DE3" w:rsidP="000D242D">
      <w:pPr>
        <w:ind w:left="845"/>
      </w:pPr>
    </w:p>
    <w:p w14:paraId="711D2333" w14:textId="77777777" w:rsidR="003E674E" w:rsidRPr="00BA5E7D" w:rsidRDefault="003E674E" w:rsidP="000D242D">
      <w:pPr>
        <w:ind w:left="845"/>
      </w:pPr>
    </w:p>
    <w:p w14:paraId="0E98F9CA" w14:textId="05A37D39" w:rsidR="000162DA" w:rsidRDefault="000162DA" w:rsidP="00C71F1C">
      <w:pPr>
        <w:spacing w:line="240" w:lineRule="auto"/>
      </w:pPr>
    </w:p>
    <w:p w14:paraId="339FB275" w14:textId="77777777" w:rsidR="000162DA" w:rsidRDefault="000162DA" w:rsidP="00C71F1C">
      <w:pPr>
        <w:spacing w:line="240" w:lineRule="auto"/>
      </w:pPr>
    </w:p>
    <w:p w14:paraId="2A9B83FF" w14:textId="77777777" w:rsidR="004B2019" w:rsidRDefault="004B2019" w:rsidP="00C71F1C">
      <w:pPr>
        <w:spacing w:line="240" w:lineRule="auto"/>
      </w:pPr>
    </w:p>
    <w:p w14:paraId="78B48F74" w14:textId="05CD4293" w:rsidR="007573BA" w:rsidRDefault="00A46308" w:rsidP="00C71F1C">
      <w:pPr>
        <w:spacing w:line="240" w:lineRule="auto"/>
      </w:pPr>
      <w:r>
        <w:t xml:space="preserve">  </w:t>
      </w:r>
    </w:p>
    <w:p w14:paraId="5D9D8E39" w14:textId="77777777" w:rsidR="00970C37" w:rsidRDefault="00970C37"/>
    <w:p w14:paraId="6F2BDA48" w14:textId="77777777" w:rsidR="00502620" w:rsidRDefault="00502620"/>
    <w:p w14:paraId="45809C31" w14:textId="77777777" w:rsidR="00502620" w:rsidRDefault="00502620"/>
    <w:p w14:paraId="5D9608CC" w14:textId="77777777" w:rsidR="004411B2" w:rsidRDefault="004411B2"/>
    <w:p w14:paraId="40BEF75A" w14:textId="77777777" w:rsidR="00E5341D" w:rsidRDefault="00E5341D"/>
    <w:p w14:paraId="3CA987F9" w14:textId="77777777" w:rsidR="004526E6" w:rsidRDefault="004526E6"/>
    <w:p w14:paraId="1852B588" w14:textId="77777777" w:rsidR="00D95751" w:rsidRDefault="00D95751"/>
    <w:p w14:paraId="165C8701" w14:textId="77777777" w:rsidR="00D95751" w:rsidRPr="00D95751" w:rsidRDefault="00D95751"/>
    <w:sectPr w:rsidR="00D95751" w:rsidRPr="00D957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277"/>
    <w:multiLevelType w:val="hybridMultilevel"/>
    <w:tmpl w:val="7B527F54"/>
    <w:lvl w:ilvl="0" w:tplc="5A4A6508">
      <w:start w:val="1"/>
      <w:numFmt w:val="lowerLetter"/>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A2BC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20D1F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E3A2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2EF7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01E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69C6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8038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28C6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660A05"/>
    <w:multiLevelType w:val="hybridMultilevel"/>
    <w:tmpl w:val="02CEFBEC"/>
    <w:lvl w:ilvl="0" w:tplc="33A010F2">
      <w:start w:val="3"/>
      <w:numFmt w:val="lowerRoman"/>
      <w:lvlText w:val="(%1)"/>
      <w:lvlJc w:val="left"/>
      <w:pPr>
        <w:ind w:left="140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928CA66E">
      <w:start w:val="1"/>
      <w:numFmt w:val="lowerLetter"/>
      <w:lvlText w:val="%2"/>
      <w:lvlJc w:val="left"/>
      <w:pPr>
        <w:ind w:left="15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DBE89A2">
      <w:start w:val="1"/>
      <w:numFmt w:val="lowerRoman"/>
      <w:lvlText w:val="%3"/>
      <w:lvlJc w:val="left"/>
      <w:pPr>
        <w:ind w:left="23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FE484F0">
      <w:start w:val="1"/>
      <w:numFmt w:val="decimal"/>
      <w:lvlText w:val="%4"/>
      <w:lvlJc w:val="left"/>
      <w:pPr>
        <w:ind w:left="30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62F6F7A2">
      <w:start w:val="1"/>
      <w:numFmt w:val="lowerLetter"/>
      <w:lvlText w:val="%5"/>
      <w:lvlJc w:val="left"/>
      <w:pPr>
        <w:ind w:left="37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616D332">
      <w:start w:val="1"/>
      <w:numFmt w:val="lowerRoman"/>
      <w:lvlText w:val="%6"/>
      <w:lvlJc w:val="left"/>
      <w:pPr>
        <w:ind w:left="44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DFA65D3C">
      <w:start w:val="1"/>
      <w:numFmt w:val="decimal"/>
      <w:lvlText w:val="%7"/>
      <w:lvlJc w:val="left"/>
      <w:pPr>
        <w:ind w:left="51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5A98E242">
      <w:start w:val="1"/>
      <w:numFmt w:val="lowerLetter"/>
      <w:lvlText w:val="%8"/>
      <w:lvlJc w:val="left"/>
      <w:pPr>
        <w:ind w:left="59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9C086DFC">
      <w:start w:val="1"/>
      <w:numFmt w:val="lowerRoman"/>
      <w:lvlText w:val="%9"/>
      <w:lvlJc w:val="left"/>
      <w:pPr>
        <w:ind w:left="66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0C8F701B"/>
    <w:multiLevelType w:val="hybridMultilevel"/>
    <w:tmpl w:val="2A7647BA"/>
    <w:lvl w:ilvl="0" w:tplc="133AFE48">
      <w:start w:val="1"/>
      <w:numFmt w:val="bullet"/>
      <w:lvlText w:val="•"/>
      <w:lvlJc w:val="left"/>
      <w:pPr>
        <w:ind w:left="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8C717E">
      <w:start w:val="1"/>
      <w:numFmt w:val="bullet"/>
      <w:lvlText w:val="●"/>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634BE">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8C6B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BC10">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8A9D8">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05092">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C52EE">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05042">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DD5663"/>
    <w:multiLevelType w:val="hybridMultilevel"/>
    <w:tmpl w:val="B8725F10"/>
    <w:lvl w:ilvl="0" w:tplc="54F6B322">
      <w:start w:val="4"/>
      <w:numFmt w:val="decimal"/>
      <w:lvlText w:val="%1."/>
      <w:lvlJc w:val="left"/>
      <w:pPr>
        <w:ind w:left="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529B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8445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0E5B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D017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007F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36C2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D427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CA4D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6E3F5E"/>
    <w:multiLevelType w:val="hybridMultilevel"/>
    <w:tmpl w:val="74EE64D2"/>
    <w:lvl w:ilvl="0" w:tplc="4CFCB7E6">
      <w:start w:val="1"/>
      <w:numFmt w:val="bullet"/>
      <w:lvlText w:val="•"/>
      <w:lvlJc w:val="left"/>
      <w:pPr>
        <w:ind w:left="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F4F76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A689F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E24A5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B8A1D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5264B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DE0EC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B2141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2A48E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392AC2"/>
    <w:multiLevelType w:val="hybridMultilevel"/>
    <w:tmpl w:val="0E960432"/>
    <w:lvl w:ilvl="0" w:tplc="33827C5C">
      <w:start w:val="1"/>
      <w:numFmt w:val="decimal"/>
      <w:lvlText w:val="%1."/>
      <w:lvlJc w:val="left"/>
      <w:pPr>
        <w:ind w:left="1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40FF9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AC64F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20104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0C97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CE074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90EFFC">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783C8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88145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4A7C0F"/>
    <w:multiLevelType w:val="hybridMultilevel"/>
    <w:tmpl w:val="3FC83890"/>
    <w:lvl w:ilvl="0" w:tplc="7BF01B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F080890">
      <w:start w:val="1"/>
      <w:numFmt w:val="lowerRoman"/>
      <w:lvlText w:val="(%2)"/>
      <w:lvlJc w:val="left"/>
      <w:pPr>
        <w:ind w:left="140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DE96B11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8FC63B5A">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864A7D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28C0F3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43E03DF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2B42D9C8">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680C0622">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7" w15:restartNumberingAfterBreak="0">
    <w:nsid w:val="797C6CCE"/>
    <w:multiLevelType w:val="hybridMultilevel"/>
    <w:tmpl w:val="CB6433E0"/>
    <w:lvl w:ilvl="0" w:tplc="813C7AD4">
      <w:start w:val="1"/>
      <w:numFmt w:val="bullet"/>
      <w:lvlText w:val="•"/>
      <w:lvlJc w:val="left"/>
      <w:pPr>
        <w:ind w:left="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54BA8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1E8D2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6A2E1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F8B1A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44B0B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38C03E">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DE2A2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62C7D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774F75"/>
    <w:multiLevelType w:val="hybridMultilevel"/>
    <w:tmpl w:val="F0B4B68A"/>
    <w:lvl w:ilvl="0" w:tplc="42EAA082">
      <w:start w:val="1"/>
      <w:numFmt w:val="bullet"/>
      <w:lvlText w:val="–"/>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4626E">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C77DA">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D2A368">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66930">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A1A4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CBFB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EE866">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A0CA2">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04769655">
    <w:abstractNumId w:val="8"/>
  </w:num>
  <w:num w:numId="2" w16cid:durableId="1030305268">
    <w:abstractNumId w:val="0"/>
  </w:num>
  <w:num w:numId="3" w16cid:durableId="1393887848">
    <w:abstractNumId w:val="7"/>
  </w:num>
  <w:num w:numId="4" w16cid:durableId="1176338014">
    <w:abstractNumId w:val="4"/>
  </w:num>
  <w:num w:numId="5" w16cid:durableId="339046499">
    <w:abstractNumId w:val="5"/>
  </w:num>
  <w:num w:numId="6" w16cid:durableId="193276756">
    <w:abstractNumId w:val="3"/>
  </w:num>
  <w:num w:numId="7" w16cid:durableId="444538291">
    <w:abstractNumId w:val="2"/>
  </w:num>
  <w:num w:numId="8" w16cid:durableId="1494030860">
    <w:abstractNumId w:val="6"/>
  </w:num>
  <w:num w:numId="9" w16cid:durableId="98639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51"/>
    <w:rsid w:val="00003BB8"/>
    <w:rsid w:val="00010787"/>
    <w:rsid w:val="000162DA"/>
    <w:rsid w:val="00017DED"/>
    <w:rsid w:val="00047B33"/>
    <w:rsid w:val="00047BB6"/>
    <w:rsid w:val="0006218B"/>
    <w:rsid w:val="00062B9D"/>
    <w:rsid w:val="00073857"/>
    <w:rsid w:val="00080086"/>
    <w:rsid w:val="00095414"/>
    <w:rsid w:val="00096393"/>
    <w:rsid w:val="0009675F"/>
    <w:rsid w:val="000A63EA"/>
    <w:rsid w:val="000A73C7"/>
    <w:rsid w:val="000C1672"/>
    <w:rsid w:val="000C7753"/>
    <w:rsid w:val="000D242D"/>
    <w:rsid w:val="000E6755"/>
    <w:rsid w:val="000F4BDE"/>
    <w:rsid w:val="00110623"/>
    <w:rsid w:val="00112444"/>
    <w:rsid w:val="00112865"/>
    <w:rsid w:val="00112F16"/>
    <w:rsid w:val="00123ED5"/>
    <w:rsid w:val="001458C9"/>
    <w:rsid w:val="00150BD8"/>
    <w:rsid w:val="00151ECD"/>
    <w:rsid w:val="00153ADC"/>
    <w:rsid w:val="00155104"/>
    <w:rsid w:val="00165E26"/>
    <w:rsid w:val="0018381A"/>
    <w:rsid w:val="00186D0A"/>
    <w:rsid w:val="00195702"/>
    <w:rsid w:val="001B56F8"/>
    <w:rsid w:val="001D7DE9"/>
    <w:rsid w:val="001E1F4D"/>
    <w:rsid w:val="001E4EAD"/>
    <w:rsid w:val="001E679F"/>
    <w:rsid w:val="001F2F3A"/>
    <w:rsid w:val="001F6FFB"/>
    <w:rsid w:val="002008AC"/>
    <w:rsid w:val="00202F09"/>
    <w:rsid w:val="00205CEE"/>
    <w:rsid w:val="002132BC"/>
    <w:rsid w:val="002149E6"/>
    <w:rsid w:val="00217862"/>
    <w:rsid w:val="0023050D"/>
    <w:rsid w:val="002412B4"/>
    <w:rsid w:val="0024441E"/>
    <w:rsid w:val="00245702"/>
    <w:rsid w:val="00245C2D"/>
    <w:rsid w:val="002512A0"/>
    <w:rsid w:val="00264803"/>
    <w:rsid w:val="00277135"/>
    <w:rsid w:val="0027771D"/>
    <w:rsid w:val="002A6993"/>
    <w:rsid w:val="002A7DAE"/>
    <w:rsid w:val="002B2E55"/>
    <w:rsid w:val="002B2F22"/>
    <w:rsid w:val="002B6EFF"/>
    <w:rsid w:val="002C7094"/>
    <w:rsid w:val="002D3F40"/>
    <w:rsid w:val="002D44AD"/>
    <w:rsid w:val="002E1599"/>
    <w:rsid w:val="002E6CB7"/>
    <w:rsid w:val="002F14A2"/>
    <w:rsid w:val="0030234C"/>
    <w:rsid w:val="0031404C"/>
    <w:rsid w:val="00332C69"/>
    <w:rsid w:val="00334FCE"/>
    <w:rsid w:val="00345061"/>
    <w:rsid w:val="003520EE"/>
    <w:rsid w:val="003549DC"/>
    <w:rsid w:val="003624BA"/>
    <w:rsid w:val="0036282F"/>
    <w:rsid w:val="00374F6B"/>
    <w:rsid w:val="0038339B"/>
    <w:rsid w:val="00391518"/>
    <w:rsid w:val="0039397A"/>
    <w:rsid w:val="003D3F74"/>
    <w:rsid w:val="003E674E"/>
    <w:rsid w:val="003F59CB"/>
    <w:rsid w:val="00407D77"/>
    <w:rsid w:val="00416803"/>
    <w:rsid w:val="00427A83"/>
    <w:rsid w:val="0043282B"/>
    <w:rsid w:val="004411B2"/>
    <w:rsid w:val="0044627F"/>
    <w:rsid w:val="004515CB"/>
    <w:rsid w:val="004526E6"/>
    <w:rsid w:val="004561A2"/>
    <w:rsid w:val="00462964"/>
    <w:rsid w:val="00470A5C"/>
    <w:rsid w:val="0047146A"/>
    <w:rsid w:val="0047171C"/>
    <w:rsid w:val="0048027A"/>
    <w:rsid w:val="00482435"/>
    <w:rsid w:val="00482DC7"/>
    <w:rsid w:val="00483FFF"/>
    <w:rsid w:val="004902A5"/>
    <w:rsid w:val="004A4D07"/>
    <w:rsid w:val="004B2019"/>
    <w:rsid w:val="004C1CA5"/>
    <w:rsid w:val="004E2D32"/>
    <w:rsid w:val="004F378B"/>
    <w:rsid w:val="00502620"/>
    <w:rsid w:val="0051152E"/>
    <w:rsid w:val="00513483"/>
    <w:rsid w:val="005241F9"/>
    <w:rsid w:val="00534C17"/>
    <w:rsid w:val="00543E9A"/>
    <w:rsid w:val="00552F1B"/>
    <w:rsid w:val="00557BBA"/>
    <w:rsid w:val="00582D83"/>
    <w:rsid w:val="00585940"/>
    <w:rsid w:val="005920DF"/>
    <w:rsid w:val="005976AB"/>
    <w:rsid w:val="005D4B61"/>
    <w:rsid w:val="005F60D0"/>
    <w:rsid w:val="006168C5"/>
    <w:rsid w:val="00616E9A"/>
    <w:rsid w:val="00621091"/>
    <w:rsid w:val="00635D22"/>
    <w:rsid w:val="0064351D"/>
    <w:rsid w:val="00652E3C"/>
    <w:rsid w:val="00657910"/>
    <w:rsid w:val="00662AB0"/>
    <w:rsid w:val="006714DE"/>
    <w:rsid w:val="00681975"/>
    <w:rsid w:val="00682232"/>
    <w:rsid w:val="006841DC"/>
    <w:rsid w:val="00691CE7"/>
    <w:rsid w:val="006927A3"/>
    <w:rsid w:val="006976CA"/>
    <w:rsid w:val="006A3FB1"/>
    <w:rsid w:val="006A5AD3"/>
    <w:rsid w:val="006A6710"/>
    <w:rsid w:val="006C30F1"/>
    <w:rsid w:val="006C70A7"/>
    <w:rsid w:val="006E11C7"/>
    <w:rsid w:val="006E3E90"/>
    <w:rsid w:val="00705AB0"/>
    <w:rsid w:val="00706CB3"/>
    <w:rsid w:val="007105CB"/>
    <w:rsid w:val="00711785"/>
    <w:rsid w:val="007210BF"/>
    <w:rsid w:val="007220A2"/>
    <w:rsid w:val="00732B3C"/>
    <w:rsid w:val="0073311E"/>
    <w:rsid w:val="00736413"/>
    <w:rsid w:val="00743104"/>
    <w:rsid w:val="00745FFB"/>
    <w:rsid w:val="007573BA"/>
    <w:rsid w:val="00772248"/>
    <w:rsid w:val="0078553B"/>
    <w:rsid w:val="00785D58"/>
    <w:rsid w:val="0079095F"/>
    <w:rsid w:val="007A5B17"/>
    <w:rsid w:val="007A6D85"/>
    <w:rsid w:val="007B1FC6"/>
    <w:rsid w:val="007B259A"/>
    <w:rsid w:val="007C6F0B"/>
    <w:rsid w:val="007D5779"/>
    <w:rsid w:val="007D6E08"/>
    <w:rsid w:val="007D7212"/>
    <w:rsid w:val="00810274"/>
    <w:rsid w:val="00814DDA"/>
    <w:rsid w:val="008155EE"/>
    <w:rsid w:val="00820609"/>
    <w:rsid w:val="008237C3"/>
    <w:rsid w:val="00826ECC"/>
    <w:rsid w:val="00835AB1"/>
    <w:rsid w:val="00841AF7"/>
    <w:rsid w:val="0085174C"/>
    <w:rsid w:val="00857FC8"/>
    <w:rsid w:val="00883527"/>
    <w:rsid w:val="00886284"/>
    <w:rsid w:val="00893DC6"/>
    <w:rsid w:val="0089640D"/>
    <w:rsid w:val="008A4A82"/>
    <w:rsid w:val="008A75FB"/>
    <w:rsid w:val="008C2AD8"/>
    <w:rsid w:val="008C2D3B"/>
    <w:rsid w:val="008C4436"/>
    <w:rsid w:val="008D761C"/>
    <w:rsid w:val="008E54A5"/>
    <w:rsid w:val="008E5E60"/>
    <w:rsid w:val="008E7A58"/>
    <w:rsid w:val="008F2112"/>
    <w:rsid w:val="00904EEF"/>
    <w:rsid w:val="0091072A"/>
    <w:rsid w:val="00915125"/>
    <w:rsid w:val="009161EE"/>
    <w:rsid w:val="0092312F"/>
    <w:rsid w:val="00932CF9"/>
    <w:rsid w:val="00970C37"/>
    <w:rsid w:val="00980C3B"/>
    <w:rsid w:val="009A33F4"/>
    <w:rsid w:val="009C700E"/>
    <w:rsid w:val="009D0ABE"/>
    <w:rsid w:val="009E4CD1"/>
    <w:rsid w:val="009E695C"/>
    <w:rsid w:val="009E72F6"/>
    <w:rsid w:val="009F122B"/>
    <w:rsid w:val="009F370C"/>
    <w:rsid w:val="009F40A5"/>
    <w:rsid w:val="00A0118E"/>
    <w:rsid w:val="00A23F42"/>
    <w:rsid w:val="00A27E60"/>
    <w:rsid w:val="00A428AA"/>
    <w:rsid w:val="00A43FB0"/>
    <w:rsid w:val="00A44E6F"/>
    <w:rsid w:val="00A46308"/>
    <w:rsid w:val="00A6540A"/>
    <w:rsid w:val="00A74D4D"/>
    <w:rsid w:val="00A838E0"/>
    <w:rsid w:val="00A92D15"/>
    <w:rsid w:val="00AA36C0"/>
    <w:rsid w:val="00AB64F5"/>
    <w:rsid w:val="00B012BE"/>
    <w:rsid w:val="00B14190"/>
    <w:rsid w:val="00B23FB8"/>
    <w:rsid w:val="00B30901"/>
    <w:rsid w:val="00B30E8B"/>
    <w:rsid w:val="00B40AE9"/>
    <w:rsid w:val="00B47185"/>
    <w:rsid w:val="00B52982"/>
    <w:rsid w:val="00B53C0F"/>
    <w:rsid w:val="00B60835"/>
    <w:rsid w:val="00B6467C"/>
    <w:rsid w:val="00B87690"/>
    <w:rsid w:val="00B876D3"/>
    <w:rsid w:val="00B947C4"/>
    <w:rsid w:val="00B97769"/>
    <w:rsid w:val="00BB234D"/>
    <w:rsid w:val="00BB63AE"/>
    <w:rsid w:val="00BD56CB"/>
    <w:rsid w:val="00BD61E4"/>
    <w:rsid w:val="00BD7093"/>
    <w:rsid w:val="00BF07AD"/>
    <w:rsid w:val="00BF57D8"/>
    <w:rsid w:val="00C019F3"/>
    <w:rsid w:val="00C029F1"/>
    <w:rsid w:val="00C0536E"/>
    <w:rsid w:val="00C16808"/>
    <w:rsid w:val="00C17879"/>
    <w:rsid w:val="00C47B19"/>
    <w:rsid w:val="00C51322"/>
    <w:rsid w:val="00C51B97"/>
    <w:rsid w:val="00C62E74"/>
    <w:rsid w:val="00C634C4"/>
    <w:rsid w:val="00C66174"/>
    <w:rsid w:val="00C71F1C"/>
    <w:rsid w:val="00C7486F"/>
    <w:rsid w:val="00C82D9C"/>
    <w:rsid w:val="00C83EBD"/>
    <w:rsid w:val="00C94568"/>
    <w:rsid w:val="00C950E3"/>
    <w:rsid w:val="00C96696"/>
    <w:rsid w:val="00C97F91"/>
    <w:rsid w:val="00CA241E"/>
    <w:rsid w:val="00CB2057"/>
    <w:rsid w:val="00CC5C4A"/>
    <w:rsid w:val="00CC662E"/>
    <w:rsid w:val="00CD7071"/>
    <w:rsid w:val="00CD7B7A"/>
    <w:rsid w:val="00CE5056"/>
    <w:rsid w:val="00CE7F60"/>
    <w:rsid w:val="00CF45FF"/>
    <w:rsid w:val="00CF56D0"/>
    <w:rsid w:val="00CF6271"/>
    <w:rsid w:val="00CF7E3A"/>
    <w:rsid w:val="00D0431E"/>
    <w:rsid w:val="00D11D8F"/>
    <w:rsid w:val="00D12319"/>
    <w:rsid w:val="00D16DE7"/>
    <w:rsid w:val="00D17790"/>
    <w:rsid w:val="00D2381E"/>
    <w:rsid w:val="00D3153B"/>
    <w:rsid w:val="00D702A8"/>
    <w:rsid w:val="00D82BDB"/>
    <w:rsid w:val="00D95751"/>
    <w:rsid w:val="00D95DA4"/>
    <w:rsid w:val="00D973B4"/>
    <w:rsid w:val="00DB0122"/>
    <w:rsid w:val="00DC32A2"/>
    <w:rsid w:val="00DD199A"/>
    <w:rsid w:val="00DD5CFF"/>
    <w:rsid w:val="00DD7E5A"/>
    <w:rsid w:val="00DE2E72"/>
    <w:rsid w:val="00DE5C39"/>
    <w:rsid w:val="00DF464C"/>
    <w:rsid w:val="00E112E7"/>
    <w:rsid w:val="00E41F31"/>
    <w:rsid w:val="00E4691C"/>
    <w:rsid w:val="00E50A74"/>
    <w:rsid w:val="00E5341D"/>
    <w:rsid w:val="00E53552"/>
    <w:rsid w:val="00E62042"/>
    <w:rsid w:val="00E666B4"/>
    <w:rsid w:val="00E71513"/>
    <w:rsid w:val="00E71B58"/>
    <w:rsid w:val="00E735FC"/>
    <w:rsid w:val="00E84924"/>
    <w:rsid w:val="00E876C4"/>
    <w:rsid w:val="00E90C21"/>
    <w:rsid w:val="00E97B4B"/>
    <w:rsid w:val="00EA4670"/>
    <w:rsid w:val="00EB1945"/>
    <w:rsid w:val="00ED5909"/>
    <w:rsid w:val="00ED72EA"/>
    <w:rsid w:val="00ED7AB6"/>
    <w:rsid w:val="00EE0011"/>
    <w:rsid w:val="00EE0226"/>
    <w:rsid w:val="00EE2EE7"/>
    <w:rsid w:val="00EE568B"/>
    <w:rsid w:val="00EE655C"/>
    <w:rsid w:val="00EF00CF"/>
    <w:rsid w:val="00EF7128"/>
    <w:rsid w:val="00F20D68"/>
    <w:rsid w:val="00F4340D"/>
    <w:rsid w:val="00F45467"/>
    <w:rsid w:val="00F50840"/>
    <w:rsid w:val="00F52922"/>
    <w:rsid w:val="00F62D8C"/>
    <w:rsid w:val="00F64A4F"/>
    <w:rsid w:val="00F65BE0"/>
    <w:rsid w:val="00F66DE3"/>
    <w:rsid w:val="00F81D30"/>
    <w:rsid w:val="00F91842"/>
    <w:rsid w:val="00F949D8"/>
    <w:rsid w:val="00F96267"/>
    <w:rsid w:val="00FA10A3"/>
    <w:rsid w:val="00FB4A46"/>
    <w:rsid w:val="00FB5281"/>
    <w:rsid w:val="00FC73C1"/>
    <w:rsid w:val="00FD2E1A"/>
    <w:rsid w:val="00FD34A9"/>
    <w:rsid w:val="00FD600A"/>
    <w:rsid w:val="00FE4ACF"/>
    <w:rsid w:val="00FE5FE6"/>
    <w:rsid w:val="00FF656E"/>
    <w:rsid w:val="00FF6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8C42"/>
  <w15:chartTrackingRefBased/>
  <w15:docId w15:val="{07F1878B-AF2B-406F-8937-EEA1D80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Overskrift1">
    <w:name w:val="heading 1"/>
    <w:next w:val="Normal"/>
    <w:link w:val="Overskrift1Tegn"/>
    <w:uiPriority w:val="9"/>
    <w:qFormat/>
    <w:rsid w:val="00A0118E"/>
    <w:pPr>
      <w:keepNext/>
      <w:keepLines/>
      <w:spacing w:after="14" w:line="249" w:lineRule="auto"/>
      <w:ind w:left="10" w:right="12" w:hanging="10"/>
      <w:jc w:val="center"/>
      <w:outlineLvl w:val="0"/>
    </w:pPr>
    <w:rPr>
      <w:rFonts w:ascii="Times New Roman" w:eastAsia="Times New Roman" w:hAnsi="Times New Roman" w:cs="Times New Roman"/>
      <w:b/>
      <w:color w:val="000000"/>
      <w:kern w:val="0"/>
      <w:sz w:val="32"/>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118E"/>
    <w:rPr>
      <w:rFonts w:ascii="Times New Roman" w:eastAsia="Times New Roman" w:hAnsi="Times New Roman" w:cs="Times New Roman"/>
      <w:b/>
      <w:color w:val="000000"/>
      <w:kern w:val="0"/>
      <w:sz w:val="32"/>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7</Pages>
  <Words>1834</Words>
  <Characters>11191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Leonhard</dc:creator>
  <cp:keywords/>
  <dc:description/>
  <cp:lastModifiedBy>Bent Leonhard</cp:lastModifiedBy>
  <cp:revision>341</cp:revision>
  <dcterms:created xsi:type="dcterms:W3CDTF">2023-07-25T10:38:00Z</dcterms:created>
  <dcterms:modified xsi:type="dcterms:W3CDTF">2023-08-01T11:16:00Z</dcterms:modified>
</cp:coreProperties>
</file>